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1E0B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2F7007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6E982D4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74CC106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96045C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31F698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CDEF66" w14:textId="7A643F9E" w:rsidR="00340FBB" w:rsidRPr="00340FBB" w:rsidRDefault="008E157E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A3F118" wp14:editId="26388A3B">
            <wp:simplePos x="0" y="0"/>
            <wp:positionH relativeFrom="margin">
              <wp:posOffset>1619250</wp:posOffset>
            </wp:positionH>
            <wp:positionV relativeFrom="paragraph">
              <wp:posOffset>45085</wp:posOffset>
            </wp:positionV>
            <wp:extent cx="2495550" cy="2713990"/>
            <wp:effectExtent l="0" t="0" r="0" b="0"/>
            <wp:wrapSquare wrapText="bothSides"/>
            <wp:docPr id="2" name="Picture 2" descr="Ho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5EF27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946F80" w14:textId="33CDD4AA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867483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30BEE6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185A64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508A30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D247CD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1960B0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9EF1EB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B37DC4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ECA74A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DA889F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B7DADC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53EC02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A920182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50D0EF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D6C5290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A85453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7B7D14A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1E4D542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D6027E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2A7A7C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A9B14D" w14:textId="77777777" w:rsidR="00340FBB" w:rsidRPr="00340FBB" w:rsidRDefault="00340FBB" w:rsidP="00340FBB">
      <w:pPr>
        <w:ind w:left="-570" w:right="-615"/>
        <w:jc w:val="center"/>
        <w:textAlignment w:val="baseline"/>
        <w:rPr>
          <w:rFonts w:eastAsiaTheme="minorEastAsia" w:cs="Arial"/>
          <w:color w:val="000000" w:themeColor="text1"/>
          <w:sz w:val="18"/>
          <w:szCs w:val="18"/>
        </w:rPr>
      </w:pPr>
      <w:r w:rsidRPr="00340FBB">
        <w:rPr>
          <w:rFonts w:eastAsiaTheme="minorEastAsia" w:cs="Arial"/>
          <w:b/>
          <w:bCs/>
          <w:color w:val="000000" w:themeColor="text1"/>
          <w:sz w:val="72"/>
          <w:szCs w:val="72"/>
        </w:rPr>
        <w:t>Administering Medications Policy </w:t>
      </w:r>
      <w:r w:rsidRPr="00340FBB">
        <w:rPr>
          <w:rFonts w:eastAsiaTheme="minorEastAsia" w:cs="Arial"/>
          <w:color w:val="000000" w:themeColor="text1"/>
          <w:sz w:val="72"/>
          <w:szCs w:val="72"/>
        </w:rPr>
        <w:t> </w:t>
      </w:r>
    </w:p>
    <w:p w14:paraId="6003B109" w14:textId="77777777" w:rsidR="00340FBB" w:rsidRPr="00340FBB" w:rsidRDefault="00340FBB" w:rsidP="00340FBB">
      <w:pPr>
        <w:ind w:left="-570" w:right="-615"/>
        <w:textAlignment w:val="baseline"/>
        <w:rPr>
          <w:rFonts w:eastAsiaTheme="minorEastAsia" w:cs="Arial"/>
          <w:color w:val="000000" w:themeColor="text1"/>
          <w:sz w:val="18"/>
          <w:szCs w:val="18"/>
        </w:rPr>
      </w:pPr>
      <w:r w:rsidRPr="00340FBB">
        <w:rPr>
          <w:rFonts w:eastAsiaTheme="minorEastAsia" w:cs="Arial"/>
          <w:color w:val="000000" w:themeColor="text1"/>
        </w:rPr>
        <w:t> </w:t>
      </w:r>
    </w:p>
    <w:p w14:paraId="08AB8CDA" w14:textId="77777777" w:rsidR="00340FBB" w:rsidRPr="00340FBB" w:rsidRDefault="00340FBB" w:rsidP="00340FBB">
      <w:pPr>
        <w:ind w:left="-570" w:right="-615"/>
        <w:textAlignment w:val="baseline"/>
        <w:rPr>
          <w:rFonts w:eastAsiaTheme="minorEastAsia" w:cs="Arial"/>
          <w:color w:val="000000" w:themeColor="text1"/>
          <w:sz w:val="18"/>
          <w:szCs w:val="18"/>
        </w:rPr>
      </w:pPr>
      <w:r w:rsidRPr="00340FBB">
        <w:rPr>
          <w:rFonts w:eastAsiaTheme="minorEastAsia" w:cs="Arial"/>
          <w:color w:val="000000" w:themeColor="text1"/>
        </w:rPr>
        <w:t> </w:t>
      </w:r>
    </w:p>
    <w:p w14:paraId="38472DDC" w14:textId="77777777" w:rsidR="00340FBB" w:rsidRPr="00340FBB" w:rsidRDefault="00340FBB" w:rsidP="00340FBB">
      <w:pPr>
        <w:ind w:left="-570" w:right="-615"/>
        <w:textAlignment w:val="baseline"/>
        <w:rPr>
          <w:rFonts w:eastAsiaTheme="minorEastAsia" w:cs="Arial"/>
          <w:color w:val="000000" w:themeColor="text1"/>
          <w:sz w:val="18"/>
          <w:szCs w:val="18"/>
        </w:rPr>
      </w:pPr>
      <w:r w:rsidRPr="00340FBB">
        <w:rPr>
          <w:rFonts w:eastAsiaTheme="minorEastAsia" w:cs="Arial"/>
          <w:color w:val="000000" w:themeColor="text1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340FBB" w:rsidRPr="00340FBB" w14:paraId="4D322E49" w14:textId="77777777" w:rsidTr="00410116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72046" w14:textId="77777777" w:rsidR="00340FBB" w:rsidRPr="00340FBB" w:rsidRDefault="00340FBB" w:rsidP="00410116">
            <w:pPr>
              <w:ind w:right="-615"/>
              <w:textAlignment w:val="baseline"/>
              <w:rPr>
                <w:rFonts w:eastAsiaTheme="minorEastAsia" w:cs="Arial"/>
                <w:color w:val="000000" w:themeColor="text1"/>
                <w:sz w:val="20"/>
                <w:szCs w:val="20"/>
              </w:rPr>
            </w:pPr>
            <w:r w:rsidRPr="00340FBB">
              <w:rPr>
                <w:rFonts w:eastAsiaTheme="minorEastAsia" w:cs="Arial"/>
                <w:color w:val="000000" w:themeColor="text1"/>
                <w:sz w:val="28"/>
                <w:szCs w:val="28"/>
              </w:rPr>
              <w:t>Policy Approved 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DDE9F" w14:textId="1FA95232" w:rsidR="00340FBB" w:rsidRPr="00340FBB" w:rsidRDefault="00340FBB" w:rsidP="00410116">
            <w:pPr>
              <w:ind w:right="-615"/>
              <w:textAlignment w:val="baseline"/>
              <w:rPr>
                <w:rFonts w:eastAsiaTheme="minorEastAsia" w:cs="Arial"/>
                <w:color w:val="000000" w:themeColor="text1"/>
                <w:sz w:val="20"/>
                <w:szCs w:val="20"/>
              </w:rPr>
            </w:pPr>
            <w:r w:rsidRPr="00340FBB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</w:rPr>
              <w:t>March 202</w:t>
            </w:r>
            <w:r w:rsidR="00830AA1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340FBB">
              <w:rPr>
                <w:rFonts w:eastAsiaTheme="minorEastAsia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40FBB" w:rsidRPr="00340FBB" w14:paraId="5EF328A1" w14:textId="77777777" w:rsidTr="00410116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68D06" w14:textId="77777777" w:rsidR="00340FBB" w:rsidRPr="00340FBB" w:rsidRDefault="00340FBB" w:rsidP="00410116">
            <w:pPr>
              <w:ind w:right="-615"/>
              <w:textAlignment w:val="baseline"/>
              <w:rPr>
                <w:rFonts w:eastAsiaTheme="minorEastAsia" w:cs="Arial"/>
                <w:color w:val="000000" w:themeColor="text1"/>
                <w:sz w:val="20"/>
                <w:szCs w:val="20"/>
              </w:rPr>
            </w:pPr>
            <w:r w:rsidRPr="00340FBB">
              <w:rPr>
                <w:rFonts w:eastAsiaTheme="minorEastAsia" w:cs="Arial"/>
                <w:color w:val="000000" w:themeColor="text1"/>
                <w:sz w:val="28"/>
                <w:szCs w:val="28"/>
              </w:rPr>
              <w:t>Review Date 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CE53C" w14:textId="7DF18097" w:rsidR="00340FBB" w:rsidRPr="00340FBB" w:rsidRDefault="00340FBB" w:rsidP="00410116">
            <w:pPr>
              <w:ind w:right="-615"/>
              <w:textAlignment w:val="baseline"/>
              <w:rPr>
                <w:rFonts w:eastAsiaTheme="minorEastAsia" w:cs="Arial"/>
                <w:color w:val="000000" w:themeColor="text1"/>
                <w:sz w:val="20"/>
                <w:szCs w:val="20"/>
              </w:rPr>
            </w:pPr>
            <w:r w:rsidRPr="00340FBB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</w:rPr>
              <w:t>March 202</w:t>
            </w:r>
            <w:r w:rsidR="00830AA1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340FBB">
              <w:rPr>
                <w:rFonts w:eastAsiaTheme="minorEastAsia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40FBB" w:rsidRPr="00340FBB" w14:paraId="2EDB5926" w14:textId="77777777" w:rsidTr="00410116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A8FD1" w14:textId="77777777" w:rsidR="00340FBB" w:rsidRPr="00340FBB" w:rsidRDefault="00340FBB" w:rsidP="00410116">
            <w:pPr>
              <w:ind w:right="-615"/>
              <w:textAlignment w:val="baseline"/>
              <w:rPr>
                <w:rFonts w:eastAsiaTheme="minorEastAsia" w:cs="Arial"/>
                <w:color w:val="000000" w:themeColor="text1"/>
                <w:sz w:val="20"/>
                <w:szCs w:val="20"/>
              </w:rPr>
            </w:pPr>
            <w:r w:rsidRPr="00340FBB">
              <w:rPr>
                <w:rFonts w:eastAsiaTheme="minorEastAsia" w:cs="Arial"/>
                <w:color w:val="000000" w:themeColor="text1"/>
                <w:sz w:val="28"/>
                <w:szCs w:val="28"/>
              </w:rPr>
              <w:t>Responsible Staff 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C0AE8" w14:textId="77777777" w:rsidR="00340FBB" w:rsidRPr="00340FBB" w:rsidRDefault="00340FBB" w:rsidP="00410116">
            <w:pPr>
              <w:ind w:right="-615"/>
              <w:textAlignment w:val="baseline"/>
              <w:rPr>
                <w:rFonts w:eastAsiaTheme="minorEastAsia" w:cs="Arial"/>
                <w:color w:val="000000" w:themeColor="text1"/>
                <w:sz w:val="20"/>
                <w:szCs w:val="20"/>
              </w:rPr>
            </w:pPr>
            <w:r w:rsidRPr="00340FBB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</w:rPr>
              <w:t>R. Flanders</w:t>
            </w:r>
            <w:r w:rsidRPr="00340FBB">
              <w:rPr>
                <w:rFonts w:eastAsiaTheme="minorEastAsia" w:cs="Arial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40FBB" w:rsidRPr="00340FBB" w14:paraId="25AB57EE" w14:textId="77777777" w:rsidTr="00410116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7CBBD" w14:textId="77777777" w:rsidR="00340FBB" w:rsidRPr="00340FBB" w:rsidRDefault="00340FBB" w:rsidP="00410116">
            <w:pPr>
              <w:ind w:right="-615"/>
              <w:textAlignment w:val="baseline"/>
              <w:rPr>
                <w:rFonts w:eastAsiaTheme="minorEastAsia" w:cs="Arial"/>
                <w:color w:val="000000" w:themeColor="text1"/>
                <w:sz w:val="20"/>
                <w:szCs w:val="20"/>
              </w:rPr>
            </w:pPr>
            <w:r w:rsidRPr="00340FBB">
              <w:rPr>
                <w:rFonts w:eastAsiaTheme="minorEastAsia" w:cs="Arial"/>
                <w:color w:val="000000" w:themeColor="text1"/>
                <w:sz w:val="28"/>
                <w:szCs w:val="28"/>
              </w:rPr>
              <w:t>Governor 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FEFB2" w14:textId="77777777" w:rsidR="00340FBB" w:rsidRPr="00340FBB" w:rsidRDefault="00340FBB" w:rsidP="00410116">
            <w:pPr>
              <w:ind w:right="-615"/>
              <w:jc w:val="both"/>
              <w:textAlignment w:val="baseline"/>
              <w:rPr>
                <w:rFonts w:eastAsiaTheme="minorEastAsia" w:cs="Arial"/>
                <w:color w:val="000000" w:themeColor="text1"/>
                <w:sz w:val="20"/>
                <w:szCs w:val="20"/>
              </w:rPr>
            </w:pPr>
            <w:r w:rsidRPr="00340FBB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</w:rPr>
              <w:t>J. Weaver</w:t>
            </w:r>
          </w:p>
        </w:tc>
      </w:tr>
    </w:tbl>
    <w:p w14:paraId="39591E40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EA6075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832EDC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A99D44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903108C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9E9257" w14:textId="77777777" w:rsidR="00340FBB" w:rsidRPr="00340FBB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60F862" w14:textId="77777777" w:rsidR="00960683" w:rsidRDefault="00960683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625AD34" w14:textId="77777777" w:rsidR="00340FBB" w:rsidRPr="00830AA1" w:rsidRDefault="00340FBB" w:rsidP="00340FBB">
      <w:pPr>
        <w:pStyle w:val="ListParagraph"/>
        <w:spacing w:before="120"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30AA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Contents:</w:t>
      </w:r>
    </w:p>
    <w:p w14:paraId="1E72896C" w14:textId="77777777" w:rsidR="00340FBB" w:rsidRPr="00830AA1" w:rsidRDefault="00340FBB" w:rsidP="00340FBB">
      <w:pPr>
        <w:spacing w:before="120"/>
        <w:ind w:left="360"/>
        <w:jc w:val="both"/>
        <w:rPr>
          <w:rStyle w:val="Hyperlink"/>
          <w:rFonts w:cs="Arial"/>
          <w:color w:val="000000" w:themeColor="text1"/>
          <w:sz w:val="24"/>
          <w:szCs w:val="24"/>
          <w:u w:val="none"/>
        </w:rPr>
      </w:pPr>
      <w:r w:rsidRPr="00830AA1">
        <w:rPr>
          <w:rFonts w:cs="Arial"/>
          <w:color w:val="000000" w:themeColor="text1"/>
          <w:sz w:val="24"/>
          <w:szCs w:val="24"/>
        </w:rPr>
        <w:fldChar w:fldCharType="begin"/>
      </w:r>
      <w:r w:rsidRPr="00830AA1">
        <w:rPr>
          <w:rFonts w:cs="Arial"/>
          <w:color w:val="000000" w:themeColor="text1"/>
          <w:sz w:val="24"/>
          <w:szCs w:val="24"/>
        </w:rPr>
        <w:instrText>HYPERLINK  \l "statement"</w:instrText>
      </w:r>
      <w:r w:rsidRPr="00830AA1">
        <w:rPr>
          <w:rFonts w:cs="Arial"/>
          <w:color w:val="000000" w:themeColor="text1"/>
          <w:sz w:val="24"/>
          <w:szCs w:val="24"/>
        </w:rPr>
        <w:fldChar w:fldCharType="separate"/>
      </w:r>
      <w:r w:rsidRPr="00830AA1">
        <w:rPr>
          <w:rStyle w:val="Hyperlink"/>
          <w:rFonts w:cs="Arial"/>
          <w:color w:val="000000" w:themeColor="text1"/>
          <w:sz w:val="24"/>
          <w:szCs w:val="24"/>
          <w:u w:val="none"/>
        </w:rPr>
        <w:t>Statement of intent</w:t>
      </w:r>
    </w:p>
    <w:p w14:paraId="2B0EAC82" w14:textId="77777777" w:rsidR="00340FBB" w:rsidRPr="00830AA1" w:rsidRDefault="00340FBB" w:rsidP="00340FBB">
      <w:pPr>
        <w:pStyle w:val="ListParagraph"/>
        <w:numPr>
          <w:ilvl w:val="0"/>
          <w:numId w:val="1"/>
        </w:numPr>
        <w:spacing w:before="120" w:after="0" w:line="240" w:lineRule="auto"/>
        <w:ind w:left="1134" w:hanging="425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830AA1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hyperlink w:anchor="_Legal_framework" w:history="1">
        <w:r w:rsidRPr="00830AA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Legal framework</w:t>
        </w:r>
      </w:hyperlink>
    </w:p>
    <w:p w14:paraId="6CFCBA82" w14:textId="77777777" w:rsidR="00340FBB" w:rsidRPr="00830AA1" w:rsidRDefault="00830AA1" w:rsidP="00340FBB">
      <w:pPr>
        <w:pStyle w:val="ListParagraph"/>
        <w:numPr>
          <w:ilvl w:val="0"/>
          <w:numId w:val="1"/>
        </w:numPr>
        <w:spacing w:before="120" w:after="0" w:line="240" w:lineRule="auto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w:anchor="_Key_roles_and" w:history="1">
        <w:r w:rsidR="00340FBB" w:rsidRPr="00830AA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Definitions</w:t>
        </w:r>
      </w:hyperlink>
    </w:p>
    <w:p w14:paraId="368C11C7" w14:textId="77777777" w:rsidR="00340FBB" w:rsidRPr="00830AA1" w:rsidRDefault="00340FBB" w:rsidP="00340FBB">
      <w:pPr>
        <w:pStyle w:val="ListParagraph"/>
        <w:numPr>
          <w:ilvl w:val="0"/>
          <w:numId w:val="1"/>
        </w:numPr>
        <w:spacing w:before="120" w:after="0" w:line="240" w:lineRule="auto"/>
        <w:ind w:left="1134" w:hanging="425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830AA1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830AA1">
        <w:rPr>
          <w:rFonts w:ascii="Arial" w:hAnsi="Arial" w:cs="Arial"/>
          <w:color w:val="000000" w:themeColor="text1"/>
          <w:sz w:val="24"/>
          <w:szCs w:val="24"/>
        </w:rPr>
        <w:instrText>HYPERLINK  \l "_Key_roles_and_1"</w:instrText>
      </w:r>
      <w:r w:rsidRPr="00830AA1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830AA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Key roles and responsibilities </w:t>
      </w:r>
    </w:p>
    <w:p w14:paraId="3692BF35" w14:textId="77777777" w:rsidR="00340FBB" w:rsidRPr="00830AA1" w:rsidRDefault="00340FBB" w:rsidP="00340FBB">
      <w:pPr>
        <w:pStyle w:val="ListParagraph"/>
        <w:numPr>
          <w:ilvl w:val="0"/>
          <w:numId w:val="1"/>
        </w:numPr>
        <w:spacing w:before="120" w:after="0" w:line="240" w:lineRule="auto"/>
        <w:ind w:left="1134" w:hanging="425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830AA1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830AA1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830AA1">
        <w:rPr>
          <w:rFonts w:ascii="Arial" w:hAnsi="Arial" w:cs="Arial"/>
          <w:color w:val="000000" w:themeColor="text1"/>
          <w:sz w:val="24"/>
          <w:szCs w:val="24"/>
        </w:rPr>
        <w:instrText xml:space="preserve"> HYPERLINK  \l "_Section_3" </w:instrText>
      </w:r>
      <w:r w:rsidRPr="00830AA1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830AA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Training of staff</w:t>
      </w:r>
    </w:p>
    <w:p w14:paraId="36BE2BC5" w14:textId="77777777" w:rsidR="00340FBB" w:rsidRPr="00830AA1" w:rsidRDefault="00340FBB" w:rsidP="00340FBB">
      <w:pPr>
        <w:pStyle w:val="ListParagraph"/>
        <w:numPr>
          <w:ilvl w:val="0"/>
          <w:numId w:val="1"/>
        </w:numPr>
        <w:spacing w:before="120" w:after="0" w:line="240" w:lineRule="auto"/>
        <w:ind w:left="1134" w:hanging="425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830AA1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hyperlink w:anchor="_Medication" w:history="1">
        <w:r w:rsidRPr="00830AA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Medication</w:t>
        </w:r>
      </w:hyperlink>
    </w:p>
    <w:p w14:paraId="38A20467" w14:textId="77777777" w:rsidR="00340FBB" w:rsidRPr="00830AA1" w:rsidRDefault="00830AA1" w:rsidP="00340FBB">
      <w:pPr>
        <w:pStyle w:val="ListParagraph"/>
        <w:numPr>
          <w:ilvl w:val="0"/>
          <w:numId w:val="1"/>
        </w:numPr>
        <w:spacing w:before="120" w:after="0" w:line="240" w:lineRule="auto"/>
        <w:ind w:left="1134" w:hanging="425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hyperlink w:anchor="_Individual_healthcare_plans" w:history="1">
        <w:r w:rsidR="00340FBB" w:rsidRPr="00830AA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Individual healthcare plans</w:t>
        </w:r>
      </w:hyperlink>
    </w:p>
    <w:p w14:paraId="3A8FA31C" w14:textId="77777777" w:rsidR="00340FBB" w:rsidRPr="00830AA1" w:rsidRDefault="00830AA1" w:rsidP="00340FBB">
      <w:pPr>
        <w:pStyle w:val="ListParagraph"/>
        <w:numPr>
          <w:ilvl w:val="0"/>
          <w:numId w:val="1"/>
        </w:numPr>
        <w:spacing w:before="120" w:after="0" w:line="240" w:lineRule="auto"/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w:anchor="_Monitor_and_review_1" w:history="1">
        <w:r w:rsidR="00340FBB" w:rsidRPr="00830AA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Monitor and review</w:t>
        </w:r>
      </w:hyperlink>
    </w:p>
    <w:p w14:paraId="33712BC9" w14:textId="77777777" w:rsidR="00340FBB" w:rsidRPr="00830AA1" w:rsidRDefault="00340FBB" w:rsidP="00340FBB">
      <w:pPr>
        <w:spacing w:before="120"/>
        <w:ind w:left="360"/>
        <w:jc w:val="both"/>
        <w:rPr>
          <w:rFonts w:cs="Arial"/>
          <w:color w:val="000000" w:themeColor="text1"/>
          <w:sz w:val="24"/>
          <w:szCs w:val="24"/>
        </w:rPr>
      </w:pPr>
    </w:p>
    <w:p w14:paraId="17A983DB" w14:textId="77777777" w:rsidR="00340FBB" w:rsidRPr="00830AA1" w:rsidRDefault="00340FBB" w:rsidP="00340FBB">
      <w:pPr>
        <w:jc w:val="both"/>
        <w:rPr>
          <w:rFonts w:cs="Arial"/>
          <w:color w:val="000000" w:themeColor="text1"/>
          <w:sz w:val="24"/>
          <w:szCs w:val="24"/>
        </w:rPr>
      </w:pPr>
      <w:bookmarkStart w:id="0" w:name="_Statement_of_intent"/>
      <w:bookmarkEnd w:id="0"/>
    </w:p>
    <w:p w14:paraId="5D34271F" w14:textId="77777777" w:rsidR="00340FBB" w:rsidRPr="00830AA1" w:rsidRDefault="00340FBB" w:rsidP="008E157E">
      <w:pPr>
        <w:pStyle w:val="Heading1"/>
        <w:rPr>
          <w:rFonts w:ascii="Arial" w:hAnsi="Arial" w:cs="Arial"/>
          <w:sz w:val="24"/>
          <w:szCs w:val="24"/>
        </w:rPr>
        <w:sectPr w:rsidR="00340FBB" w:rsidRPr="00830AA1" w:rsidSect="008E157E">
          <w:pgSz w:w="11906" w:h="16838"/>
          <w:pgMar w:top="1440" w:right="1440" w:bottom="1440" w:left="1440" w:header="709" w:footer="709" w:gutter="0"/>
          <w:pgBorders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pgNumType w:start="0"/>
          <w:cols w:space="708"/>
          <w:titlePg/>
          <w:docGrid w:linePitch="360"/>
        </w:sectPr>
      </w:pPr>
    </w:p>
    <w:p w14:paraId="34CDC3CD" w14:textId="77777777" w:rsidR="00340FBB" w:rsidRPr="00830AA1" w:rsidRDefault="00340FBB" w:rsidP="00340FBB">
      <w:pPr>
        <w:pStyle w:val="Heading2"/>
        <w:numPr>
          <w:ilvl w:val="0"/>
          <w:numId w:val="0"/>
        </w:numPr>
        <w:spacing w:after="0"/>
        <w:ind w:left="576" w:hanging="576"/>
        <w:jc w:val="both"/>
        <w:rPr>
          <w:rFonts w:ascii="Arial" w:hAnsi="Arial"/>
          <w:b/>
          <w:color w:val="000000" w:themeColor="text1"/>
          <w:sz w:val="24"/>
          <w:szCs w:val="24"/>
        </w:rPr>
      </w:pPr>
      <w:bookmarkStart w:id="1" w:name="statment"/>
      <w:bookmarkStart w:id="2" w:name="statement"/>
      <w:r w:rsidRPr="00830AA1">
        <w:rPr>
          <w:rFonts w:ascii="Arial" w:hAnsi="Arial"/>
          <w:b/>
          <w:color w:val="000000" w:themeColor="text1"/>
          <w:sz w:val="24"/>
          <w:szCs w:val="24"/>
        </w:rPr>
        <w:lastRenderedPageBreak/>
        <w:t>Statement of intent</w:t>
      </w:r>
    </w:p>
    <w:p w14:paraId="54DD6CC2" w14:textId="77777777" w:rsidR="00340FBB" w:rsidRPr="00830AA1" w:rsidRDefault="00340FBB" w:rsidP="00340FBB">
      <w:pPr>
        <w:rPr>
          <w:rFonts w:cs="Arial"/>
          <w:color w:val="000000" w:themeColor="text1"/>
          <w:sz w:val="24"/>
          <w:szCs w:val="24"/>
        </w:rPr>
      </w:pPr>
    </w:p>
    <w:bookmarkEnd w:id="1"/>
    <w:bookmarkEnd w:id="2"/>
    <w:p w14:paraId="4DA22DC9" w14:textId="77777777" w:rsidR="00340FBB" w:rsidRPr="00830AA1" w:rsidRDefault="00340FBB" w:rsidP="00340FBB">
      <w:pPr>
        <w:jc w:val="both"/>
        <w:rPr>
          <w:rFonts w:eastAsia="Arial" w:cs="Arial"/>
          <w:color w:val="000000" w:themeColor="text1"/>
          <w:sz w:val="24"/>
          <w:szCs w:val="24"/>
        </w:rPr>
      </w:pPr>
      <w:r w:rsidRPr="00830AA1">
        <w:rPr>
          <w:rFonts w:cs="Arial"/>
          <w:color w:val="000000" w:themeColor="text1"/>
          <w:sz w:val="24"/>
          <w:szCs w:val="24"/>
        </w:rPr>
        <w:t>Hoole Church of England Primary School</w:t>
      </w:r>
      <w:r w:rsidRPr="00830AA1">
        <w:rPr>
          <w:rFonts w:eastAsia="Arial" w:cs="Arial"/>
          <w:color w:val="000000" w:themeColor="text1"/>
          <w:sz w:val="24"/>
          <w:szCs w:val="24"/>
        </w:rPr>
        <w:t xml:space="preserve"> will ensure that pupils with medical conditions receive appropriate care and support at school, </w:t>
      </w:r>
      <w:proofErr w:type="gramStart"/>
      <w:r w:rsidRPr="00830AA1">
        <w:rPr>
          <w:rFonts w:eastAsia="Arial" w:cs="Arial"/>
          <w:color w:val="000000" w:themeColor="text1"/>
          <w:sz w:val="24"/>
          <w:szCs w:val="24"/>
        </w:rPr>
        <w:t>in order for</w:t>
      </w:r>
      <w:proofErr w:type="gramEnd"/>
      <w:r w:rsidRPr="00830AA1">
        <w:rPr>
          <w:rFonts w:eastAsia="Arial" w:cs="Arial"/>
          <w:color w:val="000000" w:themeColor="text1"/>
          <w:sz w:val="24"/>
          <w:szCs w:val="24"/>
        </w:rPr>
        <w:t xml:space="preserve"> them to have full access to education and remain healthy in line with our school Vision &amp; Values statement. </w:t>
      </w:r>
    </w:p>
    <w:p w14:paraId="61C353A8" w14:textId="77777777" w:rsidR="00340FBB" w:rsidRPr="00830AA1" w:rsidRDefault="00340FBB" w:rsidP="00340FBB">
      <w:pPr>
        <w:jc w:val="both"/>
        <w:rPr>
          <w:rFonts w:eastAsia="Arial" w:cs="Arial"/>
          <w:color w:val="000000" w:themeColor="text1"/>
          <w:sz w:val="24"/>
          <w:szCs w:val="24"/>
        </w:rPr>
      </w:pPr>
    </w:p>
    <w:p w14:paraId="1D6D337E" w14:textId="77777777" w:rsidR="00340FBB" w:rsidRPr="00830AA1" w:rsidRDefault="00340FBB" w:rsidP="00340FBB">
      <w:pPr>
        <w:jc w:val="center"/>
        <w:textAlignment w:val="baseline"/>
        <w:rPr>
          <w:rFonts w:eastAsiaTheme="minorEastAsia" w:cs="Arial"/>
          <w:color w:val="000000" w:themeColor="text1"/>
          <w:sz w:val="24"/>
          <w:szCs w:val="24"/>
        </w:rPr>
      </w:pPr>
      <w:r w:rsidRPr="00830AA1">
        <w:rPr>
          <w:rFonts w:eastAsiaTheme="minorEastAsia" w:cs="Arial"/>
          <w:b/>
          <w:bCs/>
          <w:color w:val="000000" w:themeColor="text1"/>
          <w:sz w:val="24"/>
          <w:szCs w:val="24"/>
        </w:rPr>
        <w:t>"Let your light shine"</w:t>
      </w:r>
      <w:r w:rsidRPr="00830AA1">
        <w:rPr>
          <w:rFonts w:eastAsiaTheme="minorEastAsia" w:cs="Arial"/>
          <w:color w:val="000000" w:themeColor="text1"/>
          <w:sz w:val="24"/>
          <w:szCs w:val="24"/>
        </w:rPr>
        <w:t> </w:t>
      </w:r>
    </w:p>
    <w:p w14:paraId="015D2BFD" w14:textId="77777777" w:rsidR="00340FBB" w:rsidRPr="00830AA1" w:rsidRDefault="00340FBB" w:rsidP="00340FBB">
      <w:pPr>
        <w:jc w:val="center"/>
        <w:textAlignment w:val="baseline"/>
        <w:rPr>
          <w:rFonts w:eastAsiaTheme="minorEastAsia" w:cs="Arial"/>
          <w:color w:val="000000" w:themeColor="text1"/>
          <w:sz w:val="24"/>
          <w:szCs w:val="24"/>
        </w:rPr>
      </w:pPr>
      <w:r w:rsidRPr="00830AA1">
        <w:rPr>
          <w:rFonts w:eastAsiaTheme="minorEastAsia" w:cs="Arial"/>
          <w:i/>
          <w:iCs/>
          <w:color w:val="000000" w:themeColor="text1"/>
          <w:sz w:val="24"/>
          <w:szCs w:val="24"/>
        </w:rPr>
        <w:t>Matthew 5:14    Sermon on the Mount</w:t>
      </w:r>
      <w:r w:rsidRPr="00830AA1">
        <w:rPr>
          <w:rFonts w:eastAsiaTheme="minorEastAsia" w:cs="Arial"/>
          <w:color w:val="000000" w:themeColor="text1"/>
          <w:sz w:val="24"/>
          <w:szCs w:val="24"/>
        </w:rPr>
        <w:t> </w:t>
      </w:r>
    </w:p>
    <w:p w14:paraId="6E6D39C3" w14:textId="77777777" w:rsidR="00340FBB" w:rsidRPr="00830AA1" w:rsidRDefault="00340FBB" w:rsidP="00340FBB">
      <w:pPr>
        <w:textAlignment w:val="baseline"/>
        <w:rPr>
          <w:rFonts w:eastAsiaTheme="minorEastAsia" w:cs="Arial"/>
          <w:color w:val="000000" w:themeColor="text1"/>
          <w:sz w:val="24"/>
          <w:szCs w:val="24"/>
        </w:rPr>
      </w:pPr>
      <w:r w:rsidRPr="00830AA1">
        <w:rPr>
          <w:rFonts w:eastAsiaTheme="minorEastAsia" w:cs="Arial"/>
          <w:color w:val="000000" w:themeColor="text1"/>
          <w:sz w:val="24"/>
          <w:szCs w:val="24"/>
        </w:rPr>
        <w:t> </w:t>
      </w:r>
    </w:p>
    <w:p w14:paraId="6F4DD829" w14:textId="77777777" w:rsidR="00340FBB" w:rsidRPr="00830AA1" w:rsidRDefault="00340FBB" w:rsidP="00340FBB">
      <w:pPr>
        <w:textAlignment w:val="baseline"/>
        <w:rPr>
          <w:rFonts w:eastAsiaTheme="minorEastAsia" w:cs="Arial"/>
          <w:color w:val="000000" w:themeColor="text1"/>
          <w:sz w:val="24"/>
          <w:szCs w:val="24"/>
        </w:rPr>
      </w:pPr>
      <w:r w:rsidRPr="00830AA1">
        <w:rPr>
          <w:rFonts w:eastAsiaTheme="minorEastAsia" w:cs="Arial"/>
          <w:b/>
          <w:bCs/>
          <w:color w:val="000000" w:themeColor="text1"/>
          <w:sz w:val="24"/>
          <w:szCs w:val="24"/>
        </w:rPr>
        <w:t>We work together to support children to let their lights shine brightly as: </w:t>
      </w:r>
      <w:r w:rsidRPr="00830AA1">
        <w:rPr>
          <w:rFonts w:eastAsiaTheme="minorEastAsia" w:cs="Arial"/>
          <w:color w:val="000000" w:themeColor="text1"/>
          <w:sz w:val="24"/>
          <w:szCs w:val="24"/>
        </w:rPr>
        <w:t> </w:t>
      </w:r>
    </w:p>
    <w:p w14:paraId="186A9F0C" w14:textId="77777777" w:rsidR="00340FBB" w:rsidRPr="00830AA1" w:rsidRDefault="00340FBB" w:rsidP="00340FBB">
      <w:pPr>
        <w:textAlignment w:val="baseline"/>
        <w:rPr>
          <w:rFonts w:eastAsiaTheme="minorEastAsia" w:cs="Arial"/>
          <w:color w:val="000000" w:themeColor="text1"/>
          <w:sz w:val="24"/>
          <w:szCs w:val="24"/>
        </w:rPr>
      </w:pPr>
    </w:p>
    <w:p w14:paraId="4D645677" w14:textId="77777777" w:rsidR="00340FBB" w:rsidRPr="00830AA1" w:rsidRDefault="00340FBB" w:rsidP="00340FB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30AA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en-US"/>
        </w:rPr>
        <w:t>Enthusiastic, curious, independent thinkers</w:t>
      </w:r>
      <w:r w:rsidRPr="00830AA1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 – </w:t>
      </w:r>
      <w:r w:rsidRPr="00830AA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en-US"/>
        </w:rPr>
        <w:t>motivated, reflective and resilient learners</w:t>
      </w:r>
      <w:r w:rsidRPr="00830AA1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 who persevere when faced with challenges and who celebrate their achievements and those of their </w:t>
      </w:r>
      <w:proofErr w:type="gramStart"/>
      <w:r w:rsidRPr="00830AA1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friends;</w:t>
      </w:r>
      <w:proofErr w:type="gramEnd"/>
      <w:r w:rsidRPr="00830AA1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 </w:t>
      </w:r>
      <w:r w:rsidRPr="00830AA1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</w:p>
    <w:p w14:paraId="1D55FB88" w14:textId="77777777" w:rsidR="00340FBB" w:rsidRPr="00830AA1" w:rsidRDefault="00340FBB" w:rsidP="00340FB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30AA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en-US"/>
        </w:rPr>
        <w:t>Respectful, compassionate and kind friends</w:t>
      </w:r>
      <w:r w:rsidRPr="00830AA1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 who are able to work with others, forgive, trust, support and communicate with </w:t>
      </w:r>
      <w:proofErr w:type="gramStart"/>
      <w:r w:rsidRPr="00830AA1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others;</w:t>
      </w:r>
      <w:proofErr w:type="gramEnd"/>
      <w:r w:rsidRPr="00830AA1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 </w:t>
      </w:r>
      <w:r w:rsidRPr="00830AA1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</w:p>
    <w:p w14:paraId="069F6441" w14:textId="77777777" w:rsidR="00340FBB" w:rsidRPr="00830AA1" w:rsidRDefault="00340FBB" w:rsidP="00340FB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30AA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en-US"/>
        </w:rPr>
        <w:t>Confident individuals</w:t>
      </w:r>
      <w:r w:rsidRPr="00830AA1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 who understand their own worth; how to stay safe and healthy and how to manage feelings and </w:t>
      </w:r>
      <w:proofErr w:type="gramStart"/>
      <w:r w:rsidRPr="00830AA1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relationships;</w:t>
      </w:r>
      <w:proofErr w:type="gramEnd"/>
      <w:r w:rsidRPr="00830AA1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 </w:t>
      </w:r>
      <w:r w:rsidRPr="00830AA1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</w:p>
    <w:p w14:paraId="2BD5CEE8" w14:textId="77777777" w:rsidR="00340FBB" w:rsidRPr="00830AA1" w:rsidRDefault="00340FBB" w:rsidP="00340FB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30AA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en-US"/>
        </w:rPr>
        <w:t>Tolerant and responsible citizens</w:t>
      </w:r>
      <w:r w:rsidRPr="00830AA1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 who show respect for others, and a commitment to appreciate and contribute positively to the world around them.             </w:t>
      </w:r>
      <w:r w:rsidRPr="00830AA1">
        <w:rPr>
          <w:rFonts w:ascii="Arial" w:eastAsiaTheme="minorEastAsia" w:hAnsi="Arial" w:cs="Arial"/>
          <w:color w:val="000000" w:themeColor="text1"/>
          <w:sz w:val="24"/>
          <w:szCs w:val="24"/>
        </w:rPr>
        <w:t> </w:t>
      </w:r>
    </w:p>
    <w:p w14:paraId="446F6416" w14:textId="77777777" w:rsidR="00340FBB" w:rsidRPr="00830AA1" w:rsidRDefault="00340FBB" w:rsidP="00340FBB">
      <w:pPr>
        <w:jc w:val="both"/>
        <w:rPr>
          <w:rFonts w:eastAsia="Arial" w:cs="Arial"/>
          <w:color w:val="000000" w:themeColor="text1"/>
          <w:sz w:val="24"/>
          <w:szCs w:val="24"/>
        </w:rPr>
      </w:pPr>
    </w:p>
    <w:p w14:paraId="005F769D" w14:textId="77777777" w:rsidR="00340FBB" w:rsidRPr="00830AA1" w:rsidRDefault="00340FBB" w:rsidP="00340FBB">
      <w:pPr>
        <w:jc w:val="both"/>
        <w:rPr>
          <w:rFonts w:eastAsia="Arial" w:cs="Arial"/>
          <w:color w:val="000000" w:themeColor="text1"/>
          <w:sz w:val="24"/>
          <w:szCs w:val="24"/>
        </w:rPr>
      </w:pPr>
      <w:r w:rsidRPr="00830AA1">
        <w:rPr>
          <w:rFonts w:eastAsia="Arial" w:cs="Arial"/>
          <w:color w:val="000000" w:themeColor="text1"/>
          <w:sz w:val="24"/>
          <w:szCs w:val="24"/>
        </w:rPr>
        <w:t xml:space="preserve">This policy has been developed in line with the Department for Education (DfE) guidance: ‘Supporting pupils at school with medical </w:t>
      </w:r>
      <w:proofErr w:type="gramStart"/>
      <w:r w:rsidRPr="00830AA1">
        <w:rPr>
          <w:rFonts w:eastAsia="Arial" w:cs="Arial"/>
          <w:color w:val="000000" w:themeColor="text1"/>
          <w:sz w:val="24"/>
          <w:szCs w:val="24"/>
        </w:rPr>
        <w:t>conditions’</w:t>
      </w:r>
      <w:proofErr w:type="gramEnd"/>
      <w:r w:rsidRPr="00830AA1">
        <w:rPr>
          <w:rFonts w:eastAsia="Arial" w:cs="Arial"/>
          <w:color w:val="000000" w:themeColor="text1"/>
          <w:sz w:val="24"/>
          <w:szCs w:val="24"/>
        </w:rPr>
        <w:t>.</w:t>
      </w:r>
    </w:p>
    <w:p w14:paraId="6956179C" w14:textId="77777777" w:rsidR="00340FBB" w:rsidRPr="00830AA1" w:rsidRDefault="00340FBB" w:rsidP="00340FBB">
      <w:pPr>
        <w:jc w:val="both"/>
        <w:rPr>
          <w:rFonts w:eastAsia="Arial" w:cs="Arial"/>
          <w:color w:val="000000" w:themeColor="text1"/>
          <w:sz w:val="24"/>
          <w:szCs w:val="24"/>
        </w:rPr>
      </w:pPr>
    </w:p>
    <w:p w14:paraId="26D4ACD1" w14:textId="77777777" w:rsidR="00340FBB" w:rsidRPr="00830AA1" w:rsidRDefault="00340FBB" w:rsidP="00340FBB">
      <w:pPr>
        <w:jc w:val="both"/>
        <w:rPr>
          <w:rFonts w:cs="Arial"/>
          <w:color w:val="000000" w:themeColor="text1"/>
          <w:sz w:val="24"/>
          <w:szCs w:val="24"/>
        </w:rPr>
      </w:pPr>
      <w:r w:rsidRPr="00830AA1">
        <w:rPr>
          <w:rFonts w:eastAsia="Arial" w:cs="Arial"/>
          <w:color w:val="000000" w:themeColor="text1"/>
          <w:sz w:val="24"/>
          <w:szCs w:val="24"/>
        </w:rPr>
        <w:t xml:space="preserve">The school is committed to ensuring that parents/carers feel confident that we will provide effective support for their child’s medical condition, and make the pupil feel safe whilst at school. </w:t>
      </w:r>
    </w:p>
    <w:p w14:paraId="47F69A6D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5A8F32E5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42A0593A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1C8BDE57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3CDD6208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1406B01D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5F9F0EE4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740B302B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6C43DEAD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02C272D6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78BC2314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649A9DF8" w14:textId="77777777" w:rsidR="00340FBB" w:rsidRPr="00830AA1" w:rsidRDefault="00340FBB" w:rsidP="00340FBB">
      <w:pPr>
        <w:jc w:val="both"/>
        <w:rPr>
          <w:rFonts w:cs="Arial"/>
          <w:color w:val="000000" w:themeColor="text1"/>
          <w:sz w:val="24"/>
          <w:szCs w:val="24"/>
        </w:rPr>
      </w:pPr>
    </w:p>
    <w:p w14:paraId="1AAB0CA3" w14:textId="77777777" w:rsidR="00340FBB" w:rsidRPr="00830AA1" w:rsidRDefault="00340FBB" w:rsidP="00340FBB">
      <w:pPr>
        <w:jc w:val="both"/>
        <w:rPr>
          <w:rFonts w:cs="Arial"/>
          <w:color w:val="000000" w:themeColor="text1"/>
          <w:sz w:val="24"/>
          <w:szCs w:val="24"/>
        </w:rPr>
      </w:pPr>
    </w:p>
    <w:p w14:paraId="2F107F04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26E57FF7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4D6AF375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1B0AA958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030F66A5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00E17AF9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65374A52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152B0E8B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</w:pPr>
    </w:p>
    <w:p w14:paraId="2FD99A4D" w14:textId="77777777" w:rsidR="00340FBB" w:rsidRPr="00830AA1" w:rsidRDefault="00340FBB" w:rsidP="00340FBB">
      <w:pPr>
        <w:ind w:left="417"/>
        <w:jc w:val="both"/>
        <w:rPr>
          <w:rFonts w:cs="Arial"/>
          <w:color w:val="000000" w:themeColor="text1"/>
          <w:sz w:val="24"/>
          <w:szCs w:val="24"/>
        </w:rPr>
        <w:sectPr w:rsidR="00340FBB" w:rsidRPr="00830AA1" w:rsidSect="008E157E">
          <w:pgSz w:w="11906" w:h="16838"/>
          <w:pgMar w:top="1440" w:right="1440" w:bottom="1440" w:left="1440" w:header="709" w:footer="709" w:gutter="0"/>
          <w:pgBorders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pgNumType w:start="0"/>
          <w:cols w:space="708"/>
          <w:titlePg/>
          <w:docGrid w:linePitch="360"/>
        </w:sectPr>
      </w:pPr>
    </w:p>
    <w:p w14:paraId="7021BA2D" w14:textId="77777777" w:rsidR="008E157E" w:rsidRPr="00830AA1" w:rsidRDefault="00960683" w:rsidP="008E157E">
      <w:pPr>
        <w:pStyle w:val="Heading1"/>
        <w:rPr>
          <w:rFonts w:ascii="Arial" w:hAnsi="Arial" w:cs="Arial"/>
          <w:sz w:val="24"/>
          <w:szCs w:val="24"/>
        </w:rPr>
      </w:pPr>
      <w:bookmarkStart w:id="3" w:name="_Peafowl_and_the"/>
      <w:bookmarkStart w:id="4" w:name="_Section_1"/>
      <w:bookmarkStart w:id="5" w:name="_Legal_framework"/>
      <w:bookmarkEnd w:id="3"/>
      <w:bookmarkEnd w:id="4"/>
      <w:bookmarkEnd w:id="5"/>
      <w:r w:rsidRPr="00830AA1">
        <w:rPr>
          <w:rFonts w:ascii="Arial" w:hAnsi="Arial" w:cs="Arial"/>
          <w:sz w:val="24"/>
          <w:szCs w:val="24"/>
        </w:rPr>
        <w:lastRenderedPageBreak/>
        <w:t>Legal framework</w:t>
      </w:r>
    </w:p>
    <w:p w14:paraId="4A015177" w14:textId="0C8547D7" w:rsidR="00960683" w:rsidRPr="00830AA1" w:rsidRDefault="00960683" w:rsidP="008E157E">
      <w:pPr>
        <w:pStyle w:val="Heading1"/>
        <w:numPr>
          <w:ilvl w:val="0"/>
          <w:numId w:val="0"/>
        </w:numPr>
        <w:ind w:left="357"/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 </w:t>
      </w:r>
    </w:p>
    <w:p w14:paraId="2F9F25BD" w14:textId="77777777" w:rsidR="00340FBB" w:rsidRPr="00830AA1" w:rsidRDefault="00340FBB" w:rsidP="008E157E">
      <w:pPr>
        <w:pStyle w:val="Heading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This policy has due regard to statutory legislation and guidance including, but not limited to, the following: </w:t>
      </w:r>
    </w:p>
    <w:p w14:paraId="07777F88" w14:textId="77777777" w:rsidR="00340FBB" w:rsidRPr="00830AA1" w:rsidRDefault="00340FBB" w:rsidP="008E157E">
      <w:pPr>
        <w:pStyle w:val="TSB-Level1Numbers"/>
        <w:numPr>
          <w:ilvl w:val="0"/>
          <w:numId w:val="0"/>
        </w:numPr>
        <w:ind w:left="998"/>
        <w:rPr>
          <w:rFonts w:ascii="Arial" w:hAnsi="Arial" w:cs="Arial"/>
          <w:sz w:val="24"/>
          <w:szCs w:val="24"/>
        </w:rPr>
      </w:pPr>
    </w:p>
    <w:p w14:paraId="0E643CE8" w14:textId="77777777" w:rsidR="00340FBB" w:rsidRPr="00830AA1" w:rsidRDefault="00340FBB" w:rsidP="00340FBB">
      <w:pPr>
        <w:pStyle w:val="TSB-PolicyBullets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AA1">
        <w:rPr>
          <w:rFonts w:ascii="Arial" w:hAnsi="Arial" w:cs="Arial"/>
          <w:color w:val="000000" w:themeColor="text1"/>
          <w:sz w:val="24"/>
          <w:szCs w:val="24"/>
        </w:rPr>
        <w:t>Children and Families Act 2014</w:t>
      </w:r>
    </w:p>
    <w:p w14:paraId="3681421C" w14:textId="77777777" w:rsidR="00340FBB" w:rsidRPr="00830AA1" w:rsidRDefault="00340FBB" w:rsidP="00340FBB">
      <w:pPr>
        <w:pStyle w:val="TSB-PolicyBullets"/>
        <w:numPr>
          <w:ilvl w:val="0"/>
          <w:numId w:val="0"/>
        </w:numPr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D1FDFF" w14:textId="77777777" w:rsidR="00340FBB" w:rsidRPr="00830AA1" w:rsidRDefault="00340FBB" w:rsidP="00340FBB">
      <w:pPr>
        <w:pStyle w:val="TSB-PolicyBullets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0AA1">
        <w:rPr>
          <w:rFonts w:ascii="Arial" w:hAnsi="Arial" w:cs="Arial"/>
          <w:color w:val="000000" w:themeColor="text1"/>
          <w:sz w:val="24"/>
          <w:szCs w:val="24"/>
        </w:rPr>
        <w:t>DfE ‘Supporting pupils at school with medical conditions’ 2015</w:t>
      </w:r>
    </w:p>
    <w:p w14:paraId="6E09E099" w14:textId="77777777" w:rsidR="00340FBB" w:rsidRPr="00830AA1" w:rsidRDefault="00340FBB" w:rsidP="00340FBB">
      <w:pPr>
        <w:pStyle w:val="TSB-PolicyBullets"/>
        <w:numPr>
          <w:ilvl w:val="0"/>
          <w:numId w:val="0"/>
        </w:numPr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FA39EF" w14:textId="2D925E97" w:rsidR="00340FBB" w:rsidRPr="00830AA1" w:rsidRDefault="00340FBB" w:rsidP="008E157E">
      <w:pPr>
        <w:pStyle w:val="Heading1"/>
        <w:rPr>
          <w:rFonts w:ascii="Arial" w:hAnsi="Arial" w:cs="Arial"/>
          <w:sz w:val="24"/>
          <w:szCs w:val="24"/>
        </w:rPr>
      </w:pPr>
      <w:bookmarkStart w:id="6" w:name="_Key_roles_and"/>
      <w:bookmarkEnd w:id="6"/>
      <w:r w:rsidRPr="00830AA1">
        <w:rPr>
          <w:rFonts w:ascii="Arial" w:hAnsi="Arial" w:cs="Arial"/>
          <w:sz w:val="24"/>
          <w:szCs w:val="24"/>
        </w:rPr>
        <w:t>Definitions</w:t>
      </w:r>
    </w:p>
    <w:p w14:paraId="634380B3" w14:textId="77777777" w:rsidR="008E157E" w:rsidRPr="00830AA1" w:rsidRDefault="008E157E" w:rsidP="008E157E">
      <w:pPr>
        <w:rPr>
          <w:rFonts w:cs="Arial"/>
          <w:sz w:val="24"/>
          <w:szCs w:val="24"/>
        </w:rPr>
      </w:pPr>
    </w:p>
    <w:p w14:paraId="198D2C1E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Hoole Church of England Primary School defines “medication” as any </w:t>
      </w:r>
      <w:bookmarkStart w:id="7" w:name="_Training_of_staff"/>
      <w:bookmarkEnd w:id="7"/>
      <w:r w:rsidRPr="00830AA1">
        <w:rPr>
          <w:rFonts w:ascii="Arial" w:hAnsi="Arial" w:cs="Arial"/>
          <w:sz w:val="24"/>
          <w:szCs w:val="24"/>
        </w:rPr>
        <w:t>prescribed or over the counter medicine.</w:t>
      </w:r>
    </w:p>
    <w:p w14:paraId="57E22768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1A0E9694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Hoole Church of England Primary School defines “prescription medication” as any drug or device prescribed by a doctor.</w:t>
      </w:r>
    </w:p>
    <w:p w14:paraId="3CB35E6B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83A009E" w14:textId="77777777" w:rsidR="00410116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Hoole Church of England Primary School defines a “staff member” as any member of staff employed at the school, including teachers.</w:t>
      </w:r>
    </w:p>
    <w:p w14:paraId="74368DC1" w14:textId="77777777" w:rsidR="00410116" w:rsidRPr="00830AA1" w:rsidRDefault="00410116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6BE91594" w14:textId="77777777" w:rsidR="00410116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proofErr w:type="gramStart"/>
      <w:r w:rsidRPr="00830AA1">
        <w:rPr>
          <w:rFonts w:ascii="Arial" w:hAnsi="Arial" w:cs="Arial"/>
          <w:sz w:val="24"/>
          <w:szCs w:val="24"/>
        </w:rPr>
        <w:t>For the purpose of</w:t>
      </w:r>
      <w:proofErr w:type="gramEnd"/>
      <w:r w:rsidRPr="00830AA1">
        <w:rPr>
          <w:rFonts w:ascii="Arial" w:hAnsi="Arial" w:cs="Arial"/>
          <w:sz w:val="24"/>
          <w:szCs w:val="24"/>
        </w:rPr>
        <w:t xml:space="preserve"> this policy, “medication” will be used to describe all types of medicine. </w:t>
      </w:r>
    </w:p>
    <w:p w14:paraId="67EDC154" w14:textId="77777777" w:rsidR="00410116" w:rsidRPr="00830AA1" w:rsidRDefault="00410116" w:rsidP="00410116">
      <w:pPr>
        <w:pStyle w:val="BodyText"/>
        <w:spacing w:before="1"/>
        <w:rPr>
          <w:rFonts w:ascii="Arial" w:hAnsi="Arial" w:cs="Arial"/>
          <w:w w:val="115"/>
          <w:szCs w:val="24"/>
          <w:u w:val="thick"/>
        </w:rPr>
      </w:pPr>
    </w:p>
    <w:p w14:paraId="271EA961" w14:textId="77777777" w:rsidR="00960683" w:rsidRPr="00830AA1" w:rsidRDefault="00960683" w:rsidP="00960683">
      <w:pPr>
        <w:pStyle w:val="BodyText"/>
        <w:spacing w:before="1"/>
        <w:rPr>
          <w:rFonts w:ascii="Arial" w:hAnsi="Arial" w:cs="Arial"/>
          <w:szCs w:val="24"/>
        </w:rPr>
      </w:pPr>
      <w:r w:rsidRPr="00830AA1">
        <w:rPr>
          <w:rFonts w:ascii="Arial" w:hAnsi="Arial" w:cs="Arial"/>
          <w:w w:val="115"/>
          <w:szCs w:val="24"/>
        </w:rPr>
        <w:t xml:space="preserve">    3. </w:t>
      </w:r>
      <w:r w:rsidR="00410116" w:rsidRPr="00830AA1">
        <w:rPr>
          <w:rFonts w:ascii="Arial" w:hAnsi="Arial" w:cs="Arial"/>
          <w:w w:val="115"/>
          <w:szCs w:val="24"/>
        </w:rPr>
        <w:t>Procedures for the Administration of Medication in schools</w:t>
      </w:r>
      <w:r w:rsidRPr="00830AA1">
        <w:rPr>
          <w:rFonts w:ascii="Arial" w:hAnsi="Arial" w:cs="Arial"/>
          <w:szCs w:val="24"/>
        </w:rPr>
        <w:t xml:space="preserve">  </w:t>
      </w:r>
    </w:p>
    <w:p w14:paraId="73F16B6E" w14:textId="54217F80" w:rsidR="00960683" w:rsidRPr="00830AA1" w:rsidRDefault="00410116" w:rsidP="00830AA1">
      <w:pPr>
        <w:pStyle w:val="BodyText"/>
        <w:spacing w:before="1"/>
        <w:rPr>
          <w:rFonts w:ascii="Arial" w:hAnsi="Arial" w:cs="Arial"/>
          <w:b w:val="0"/>
          <w:w w:val="110"/>
          <w:szCs w:val="24"/>
        </w:rPr>
      </w:pPr>
      <w:r w:rsidRPr="00830AA1">
        <w:rPr>
          <w:rFonts w:ascii="Arial" w:hAnsi="Arial" w:cs="Arial"/>
          <w:b w:val="0"/>
          <w:w w:val="110"/>
          <w:szCs w:val="24"/>
        </w:rPr>
        <w:t>NHS West Cheshire Clinical Commissioning Group has agreed a policy in supporting self- care</w:t>
      </w:r>
      <w:r w:rsidRPr="00830AA1">
        <w:rPr>
          <w:rFonts w:ascii="Arial" w:hAnsi="Arial" w:cs="Arial"/>
          <w:b w:val="0"/>
          <w:spacing w:val="-11"/>
          <w:w w:val="110"/>
          <w:szCs w:val="24"/>
        </w:rPr>
        <w:t xml:space="preserve"> </w:t>
      </w:r>
      <w:r w:rsidRPr="00830AA1">
        <w:rPr>
          <w:rFonts w:ascii="Arial" w:hAnsi="Arial" w:cs="Arial"/>
          <w:b w:val="0"/>
          <w:w w:val="110"/>
          <w:szCs w:val="24"/>
        </w:rPr>
        <w:t>for</w:t>
      </w:r>
      <w:r w:rsidRPr="00830AA1">
        <w:rPr>
          <w:rFonts w:ascii="Arial" w:hAnsi="Arial" w:cs="Arial"/>
          <w:b w:val="0"/>
          <w:spacing w:val="-13"/>
          <w:w w:val="110"/>
          <w:szCs w:val="24"/>
        </w:rPr>
        <w:t xml:space="preserve"> </w:t>
      </w:r>
      <w:r w:rsidRPr="00830AA1">
        <w:rPr>
          <w:rFonts w:ascii="Arial" w:hAnsi="Arial" w:cs="Arial"/>
          <w:b w:val="0"/>
          <w:w w:val="110"/>
          <w:szCs w:val="24"/>
        </w:rPr>
        <w:t>minor</w:t>
      </w:r>
      <w:r w:rsidRPr="00830AA1">
        <w:rPr>
          <w:rFonts w:ascii="Arial" w:hAnsi="Arial" w:cs="Arial"/>
          <w:b w:val="0"/>
          <w:spacing w:val="-11"/>
          <w:w w:val="110"/>
          <w:szCs w:val="24"/>
        </w:rPr>
        <w:t xml:space="preserve"> </w:t>
      </w:r>
      <w:r w:rsidRPr="00830AA1">
        <w:rPr>
          <w:rFonts w:ascii="Arial" w:hAnsi="Arial" w:cs="Arial"/>
          <w:b w:val="0"/>
          <w:w w:val="110"/>
          <w:szCs w:val="24"/>
        </w:rPr>
        <w:t>or</w:t>
      </w:r>
      <w:r w:rsidRPr="00830AA1">
        <w:rPr>
          <w:rFonts w:ascii="Arial" w:hAnsi="Arial" w:cs="Arial"/>
          <w:b w:val="0"/>
          <w:spacing w:val="-11"/>
          <w:w w:val="110"/>
          <w:szCs w:val="24"/>
        </w:rPr>
        <w:t xml:space="preserve"> </w:t>
      </w:r>
      <w:r w:rsidRPr="00830AA1">
        <w:rPr>
          <w:rFonts w:ascii="Arial" w:hAnsi="Arial" w:cs="Arial"/>
          <w:b w:val="0"/>
          <w:w w:val="110"/>
          <w:szCs w:val="24"/>
        </w:rPr>
        <w:t>self-limiting</w:t>
      </w:r>
      <w:r w:rsidRPr="00830AA1">
        <w:rPr>
          <w:rFonts w:ascii="Arial" w:hAnsi="Arial" w:cs="Arial"/>
          <w:b w:val="0"/>
          <w:spacing w:val="-11"/>
          <w:w w:val="110"/>
          <w:szCs w:val="24"/>
        </w:rPr>
        <w:t xml:space="preserve"> </w:t>
      </w:r>
      <w:r w:rsidRPr="00830AA1">
        <w:rPr>
          <w:rFonts w:ascii="Arial" w:hAnsi="Arial" w:cs="Arial"/>
          <w:b w:val="0"/>
          <w:w w:val="110"/>
          <w:szCs w:val="24"/>
        </w:rPr>
        <w:t>conditions.</w:t>
      </w:r>
      <w:r w:rsidRPr="00830AA1">
        <w:rPr>
          <w:rFonts w:ascii="Arial" w:hAnsi="Arial" w:cs="Arial"/>
          <w:b w:val="0"/>
          <w:spacing w:val="-13"/>
          <w:w w:val="110"/>
          <w:szCs w:val="24"/>
        </w:rPr>
        <w:t xml:space="preserve"> </w:t>
      </w:r>
      <w:r w:rsidRPr="00830AA1">
        <w:rPr>
          <w:rFonts w:ascii="Arial" w:hAnsi="Arial" w:cs="Arial"/>
          <w:b w:val="0"/>
          <w:w w:val="110"/>
          <w:szCs w:val="24"/>
        </w:rPr>
        <w:t>The</w:t>
      </w:r>
      <w:r w:rsidRPr="00830AA1">
        <w:rPr>
          <w:rFonts w:ascii="Arial" w:hAnsi="Arial" w:cs="Arial"/>
          <w:b w:val="0"/>
          <w:spacing w:val="-11"/>
          <w:w w:val="110"/>
          <w:szCs w:val="24"/>
        </w:rPr>
        <w:t xml:space="preserve"> </w:t>
      </w:r>
      <w:r w:rsidRPr="00830AA1">
        <w:rPr>
          <w:rFonts w:ascii="Arial" w:hAnsi="Arial" w:cs="Arial"/>
          <w:b w:val="0"/>
          <w:w w:val="110"/>
          <w:szCs w:val="24"/>
        </w:rPr>
        <w:t>policy</w:t>
      </w:r>
      <w:r w:rsidRPr="00830AA1">
        <w:rPr>
          <w:rFonts w:ascii="Arial" w:hAnsi="Arial" w:cs="Arial"/>
          <w:b w:val="0"/>
          <w:spacing w:val="-12"/>
          <w:w w:val="110"/>
          <w:szCs w:val="24"/>
        </w:rPr>
        <w:t xml:space="preserve"> </w:t>
      </w:r>
      <w:r w:rsidRPr="00830AA1">
        <w:rPr>
          <w:rFonts w:ascii="Arial" w:hAnsi="Arial" w:cs="Arial"/>
          <w:b w:val="0"/>
          <w:w w:val="110"/>
          <w:szCs w:val="24"/>
        </w:rPr>
        <w:t>states</w:t>
      </w:r>
      <w:r w:rsidRPr="00830AA1">
        <w:rPr>
          <w:rFonts w:ascii="Arial" w:hAnsi="Arial" w:cs="Arial"/>
          <w:b w:val="0"/>
          <w:spacing w:val="-9"/>
          <w:w w:val="110"/>
          <w:szCs w:val="24"/>
        </w:rPr>
        <w:t xml:space="preserve"> </w:t>
      </w:r>
      <w:r w:rsidRPr="00830AA1">
        <w:rPr>
          <w:rFonts w:ascii="Arial" w:hAnsi="Arial" w:cs="Arial"/>
          <w:b w:val="0"/>
          <w:w w:val="110"/>
          <w:szCs w:val="24"/>
        </w:rPr>
        <w:t>that</w:t>
      </w:r>
      <w:r w:rsidRPr="00830AA1">
        <w:rPr>
          <w:rFonts w:ascii="Arial" w:hAnsi="Arial" w:cs="Arial"/>
          <w:b w:val="0"/>
          <w:spacing w:val="-13"/>
          <w:w w:val="110"/>
          <w:szCs w:val="24"/>
        </w:rPr>
        <w:t xml:space="preserve"> </w:t>
      </w:r>
      <w:r w:rsidRPr="00830AA1">
        <w:rPr>
          <w:rFonts w:ascii="Arial" w:hAnsi="Arial" w:cs="Arial"/>
          <w:b w:val="0"/>
          <w:w w:val="110"/>
          <w:szCs w:val="24"/>
        </w:rPr>
        <w:t>for</w:t>
      </w:r>
      <w:r w:rsidRPr="00830AA1">
        <w:rPr>
          <w:rFonts w:ascii="Arial" w:hAnsi="Arial" w:cs="Arial"/>
          <w:b w:val="0"/>
          <w:spacing w:val="-9"/>
          <w:w w:val="110"/>
          <w:szCs w:val="24"/>
        </w:rPr>
        <w:t xml:space="preserve"> </w:t>
      </w:r>
      <w:r w:rsidRPr="00830AA1">
        <w:rPr>
          <w:rFonts w:ascii="Arial" w:hAnsi="Arial" w:cs="Arial"/>
          <w:b w:val="0"/>
          <w:w w:val="110"/>
          <w:szCs w:val="24"/>
        </w:rPr>
        <w:t>these</w:t>
      </w:r>
      <w:r w:rsidRPr="00830AA1">
        <w:rPr>
          <w:rFonts w:ascii="Arial" w:hAnsi="Arial" w:cs="Arial"/>
          <w:b w:val="0"/>
          <w:spacing w:val="-11"/>
          <w:w w:val="110"/>
          <w:szCs w:val="24"/>
        </w:rPr>
        <w:t xml:space="preserve"> </w:t>
      </w:r>
      <w:r w:rsidRPr="00830AA1">
        <w:rPr>
          <w:rFonts w:ascii="Arial" w:hAnsi="Arial" w:cs="Arial"/>
          <w:b w:val="0"/>
          <w:w w:val="110"/>
          <w:szCs w:val="24"/>
        </w:rPr>
        <w:t>conditions,</w:t>
      </w:r>
      <w:r w:rsidRPr="00830AA1">
        <w:rPr>
          <w:rFonts w:ascii="Arial" w:hAnsi="Arial" w:cs="Arial"/>
          <w:b w:val="0"/>
          <w:spacing w:val="-11"/>
          <w:w w:val="110"/>
          <w:szCs w:val="24"/>
        </w:rPr>
        <w:t xml:space="preserve"> </w:t>
      </w:r>
      <w:r w:rsidRPr="00830AA1">
        <w:rPr>
          <w:rFonts w:ascii="Arial" w:hAnsi="Arial" w:cs="Arial"/>
          <w:b w:val="0"/>
          <w:w w:val="110"/>
          <w:szCs w:val="24"/>
        </w:rPr>
        <w:t xml:space="preserve">patients (or their parents) are encouraged to </w:t>
      </w:r>
      <w:proofErr w:type="gramStart"/>
      <w:r w:rsidRPr="00830AA1">
        <w:rPr>
          <w:rFonts w:ascii="Arial" w:hAnsi="Arial" w:cs="Arial"/>
          <w:b w:val="0"/>
          <w:w w:val="110"/>
          <w:szCs w:val="24"/>
        </w:rPr>
        <w:t>self-care, and</w:t>
      </w:r>
      <w:proofErr w:type="gramEnd"/>
      <w:r w:rsidRPr="00830AA1">
        <w:rPr>
          <w:rFonts w:ascii="Arial" w:hAnsi="Arial" w:cs="Arial"/>
          <w:b w:val="0"/>
          <w:w w:val="110"/>
          <w:szCs w:val="24"/>
        </w:rPr>
        <w:t xml:space="preserve"> are expected to buy over-the-counter (OTC) medicines when appropriate. Therefore, GPs will not routinely prescribe these medicines.</w:t>
      </w:r>
    </w:p>
    <w:p w14:paraId="242542F2" w14:textId="77777777" w:rsidR="00830AA1" w:rsidRPr="00830AA1" w:rsidRDefault="00830AA1" w:rsidP="00830AA1">
      <w:pPr>
        <w:pStyle w:val="BodyText"/>
        <w:spacing w:before="1"/>
        <w:rPr>
          <w:rFonts w:ascii="Arial" w:hAnsi="Arial" w:cs="Arial"/>
          <w:b w:val="0"/>
          <w:w w:val="110"/>
          <w:szCs w:val="24"/>
        </w:rPr>
      </w:pPr>
    </w:p>
    <w:p w14:paraId="0FB34237" w14:textId="77777777" w:rsidR="00960683" w:rsidRPr="00830AA1" w:rsidRDefault="00960683" w:rsidP="00960683">
      <w:pPr>
        <w:pStyle w:val="BodyText"/>
        <w:spacing w:after="0"/>
        <w:jc w:val="both"/>
        <w:rPr>
          <w:rFonts w:ascii="Arial" w:hAnsi="Arial" w:cs="Arial"/>
          <w:w w:val="115"/>
          <w:szCs w:val="24"/>
        </w:rPr>
      </w:pPr>
      <w:r w:rsidRPr="00830AA1">
        <w:rPr>
          <w:rFonts w:ascii="Arial" w:hAnsi="Arial" w:cs="Arial"/>
          <w:w w:val="115"/>
          <w:szCs w:val="24"/>
        </w:rPr>
        <w:t xml:space="preserve">    4. Administering over the counter medication in the light of the </w:t>
      </w:r>
    </w:p>
    <w:p w14:paraId="6AFFF725" w14:textId="77777777" w:rsidR="00410116" w:rsidRPr="00830AA1" w:rsidRDefault="00960683" w:rsidP="00960683">
      <w:pPr>
        <w:pStyle w:val="BodyText"/>
        <w:spacing w:after="0"/>
        <w:jc w:val="both"/>
        <w:rPr>
          <w:rFonts w:ascii="Arial" w:hAnsi="Arial" w:cs="Arial"/>
          <w:w w:val="115"/>
          <w:szCs w:val="24"/>
          <w:u w:val="thick"/>
        </w:rPr>
      </w:pPr>
      <w:r w:rsidRPr="00830AA1">
        <w:rPr>
          <w:rFonts w:ascii="Arial" w:hAnsi="Arial" w:cs="Arial"/>
          <w:w w:val="115"/>
          <w:szCs w:val="24"/>
        </w:rPr>
        <w:t xml:space="preserve">   NHS West Cheshire Clinical Commissioning Group policy</w:t>
      </w:r>
      <w:r w:rsidRPr="00830AA1">
        <w:rPr>
          <w:rFonts w:ascii="Arial" w:hAnsi="Arial" w:cs="Arial"/>
          <w:w w:val="115"/>
          <w:szCs w:val="24"/>
          <w:u w:val="thick"/>
        </w:rPr>
        <w:t xml:space="preserve"> </w:t>
      </w:r>
    </w:p>
    <w:p w14:paraId="78B924FF" w14:textId="77777777" w:rsidR="00960683" w:rsidRPr="00830AA1" w:rsidRDefault="00960683" w:rsidP="00960683">
      <w:pPr>
        <w:pStyle w:val="BodyText"/>
        <w:spacing w:after="0"/>
        <w:jc w:val="both"/>
        <w:rPr>
          <w:rFonts w:ascii="Arial" w:hAnsi="Arial" w:cs="Arial"/>
          <w:w w:val="115"/>
          <w:szCs w:val="24"/>
        </w:rPr>
      </w:pPr>
    </w:p>
    <w:p w14:paraId="71CD53D4" w14:textId="77777777" w:rsidR="00410116" w:rsidRPr="00830AA1" w:rsidRDefault="00410116" w:rsidP="00410116">
      <w:pPr>
        <w:pStyle w:val="BodyText"/>
        <w:ind w:right="489"/>
        <w:rPr>
          <w:rFonts w:ascii="Arial" w:hAnsi="Arial" w:cs="Arial"/>
          <w:b w:val="0"/>
          <w:szCs w:val="24"/>
        </w:rPr>
      </w:pPr>
      <w:r w:rsidRPr="00830AA1">
        <w:rPr>
          <w:rFonts w:ascii="Arial" w:hAnsi="Arial" w:cs="Arial"/>
          <w:b w:val="0"/>
          <w:w w:val="110"/>
          <w:szCs w:val="24"/>
        </w:rPr>
        <w:t xml:space="preserve">We, as a school, are now permitted to administer </w:t>
      </w:r>
      <w:proofErr w:type="gramStart"/>
      <w:r w:rsidRPr="00830AA1">
        <w:rPr>
          <w:rFonts w:ascii="Arial" w:hAnsi="Arial" w:cs="Arial"/>
          <w:b w:val="0"/>
          <w:w w:val="110"/>
          <w:szCs w:val="24"/>
        </w:rPr>
        <w:t>over-the-counter</w:t>
      </w:r>
      <w:proofErr w:type="gramEnd"/>
      <w:r w:rsidRPr="00830AA1">
        <w:rPr>
          <w:rFonts w:ascii="Arial" w:hAnsi="Arial" w:cs="Arial"/>
          <w:b w:val="0"/>
          <w:w w:val="110"/>
          <w:szCs w:val="24"/>
        </w:rPr>
        <w:t xml:space="preserve"> (OTC) medicines when appropriate.</w:t>
      </w:r>
    </w:p>
    <w:p w14:paraId="6D15DC55" w14:textId="77777777" w:rsidR="00410116" w:rsidRPr="00830AA1" w:rsidRDefault="00410116" w:rsidP="00410116">
      <w:pPr>
        <w:pStyle w:val="BodyText"/>
        <w:ind w:right="521"/>
        <w:rPr>
          <w:rFonts w:ascii="Arial" w:hAnsi="Arial" w:cs="Arial"/>
          <w:b w:val="0"/>
          <w:szCs w:val="24"/>
        </w:rPr>
      </w:pPr>
      <w:r w:rsidRPr="00830AA1">
        <w:rPr>
          <w:rFonts w:ascii="Arial" w:hAnsi="Arial" w:cs="Arial"/>
          <w:b w:val="0"/>
          <w:w w:val="105"/>
          <w:szCs w:val="24"/>
        </w:rPr>
        <w:t>Written per</w:t>
      </w:r>
      <w:r w:rsidR="00960683" w:rsidRPr="00830AA1">
        <w:rPr>
          <w:rFonts w:ascii="Arial" w:hAnsi="Arial" w:cs="Arial"/>
          <w:b w:val="0"/>
          <w:w w:val="105"/>
          <w:szCs w:val="24"/>
        </w:rPr>
        <w:t>mission from parents/</w:t>
      </w:r>
      <w:proofErr w:type="spellStart"/>
      <w:r w:rsidR="00960683" w:rsidRPr="00830AA1">
        <w:rPr>
          <w:rFonts w:ascii="Arial" w:hAnsi="Arial" w:cs="Arial"/>
          <w:b w:val="0"/>
          <w:w w:val="105"/>
          <w:szCs w:val="24"/>
        </w:rPr>
        <w:t>carers</w:t>
      </w:r>
      <w:proofErr w:type="spellEnd"/>
      <w:r w:rsidR="00960683" w:rsidRPr="00830AA1">
        <w:rPr>
          <w:rFonts w:ascii="Arial" w:hAnsi="Arial" w:cs="Arial"/>
          <w:b w:val="0"/>
          <w:w w:val="105"/>
          <w:szCs w:val="24"/>
        </w:rPr>
        <w:t xml:space="preserve"> must</w:t>
      </w:r>
      <w:r w:rsidRPr="00830AA1">
        <w:rPr>
          <w:rFonts w:ascii="Arial" w:hAnsi="Arial" w:cs="Arial"/>
          <w:b w:val="0"/>
          <w:w w:val="105"/>
          <w:szCs w:val="24"/>
        </w:rPr>
        <w:t xml:space="preserve"> be obtained before administration using the school form.</w:t>
      </w:r>
    </w:p>
    <w:p w14:paraId="7AB28D81" w14:textId="77777777" w:rsidR="00410116" w:rsidRPr="00830AA1" w:rsidRDefault="00410116" w:rsidP="00410116">
      <w:pPr>
        <w:pStyle w:val="BodyText"/>
        <w:spacing w:before="79"/>
        <w:rPr>
          <w:rFonts w:ascii="Arial" w:hAnsi="Arial" w:cs="Arial"/>
          <w:b w:val="0"/>
          <w:szCs w:val="24"/>
        </w:rPr>
      </w:pPr>
      <w:r w:rsidRPr="00830AA1">
        <w:rPr>
          <w:rFonts w:ascii="Arial" w:hAnsi="Arial" w:cs="Arial"/>
          <w:b w:val="0"/>
          <w:w w:val="110"/>
          <w:szCs w:val="24"/>
        </w:rPr>
        <w:t>Examples of medicines that do not require a prescription and which parents can give permission to administer include:</w:t>
      </w:r>
    </w:p>
    <w:p w14:paraId="2EEB8BF8" w14:textId="77777777" w:rsidR="00410116" w:rsidRPr="00830AA1" w:rsidRDefault="00410116" w:rsidP="00410116">
      <w:pPr>
        <w:pStyle w:val="ListParagraph"/>
        <w:widowControl w:val="0"/>
        <w:numPr>
          <w:ilvl w:val="0"/>
          <w:numId w:val="9"/>
        </w:numPr>
        <w:tabs>
          <w:tab w:val="left" w:pos="992"/>
        </w:tabs>
        <w:autoSpaceDE w:val="0"/>
        <w:autoSpaceDN w:val="0"/>
        <w:spacing w:after="0" w:line="240" w:lineRule="auto"/>
        <w:ind w:right="370" w:hanging="133"/>
        <w:contextualSpacing w:val="0"/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w w:val="110"/>
          <w:sz w:val="24"/>
          <w:szCs w:val="24"/>
        </w:rPr>
        <w:t xml:space="preserve">Paracetamol, </w:t>
      </w:r>
      <w:proofErr w:type="gramStart"/>
      <w:r w:rsidRPr="00830AA1">
        <w:rPr>
          <w:rFonts w:ascii="Arial" w:hAnsi="Arial" w:cs="Arial"/>
          <w:w w:val="110"/>
          <w:sz w:val="24"/>
          <w:szCs w:val="24"/>
        </w:rPr>
        <w:t>ibuprofen</w:t>
      </w:r>
      <w:proofErr w:type="gramEnd"/>
      <w:r w:rsidRPr="00830AA1">
        <w:rPr>
          <w:rFonts w:ascii="Arial" w:hAnsi="Arial" w:cs="Arial"/>
          <w:w w:val="110"/>
          <w:sz w:val="24"/>
          <w:szCs w:val="24"/>
        </w:rPr>
        <w:t xml:space="preserve"> or antihistamines - provided they are supplied in packaging with clear dosage instructions that are age appropriate for the</w:t>
      </w:r>
      <w:r w:rsidRPr="00830AA1">
        <w:rPr>
          <w:rFonts w:ascii="Arial" w:hAnsi="Arial" w:cs="Arial"/>
          <w:spacing w:val="6"/>
          <w:w w:val="110"/>
          <w:sz w:val="24"/>
          <w:szCs w:val="24"/>
        </w:rPr>
        <w:t xml:space="preserve"> </w:t>
      </w:r>
      <w:r w:rsidRPr="00830AA1">
        <w:rPr>
          <w:rFonts w:ascii="Arial" w:hAnsi="Arial" w:cs="Arial"/>
          <w:w w:val="110"/>
          <w:sz w:val="24"/>
          <w:szCs w:val="24"/>
        </w:rPr>
        <w:t>child</w:t>
      </w:r>
    </w:p>
    <w:p w14:paraId="1D65778C" w14:textId="77777777" w:rsidR="00410116" w:rsidRPr="00830AA1" w:rsidRDefault="00410116" w:rsidP="00410116">
      <w:pPr>
        <w:pStyle w:val="ListParagraph"/>
        <w:widowControl w:val="0"/>
        <w:numPr>
          <w:ilvl w:val="0"/>
          <w:numId w:val="9"/>
        </w:numPr>
        <w:tabs>
          <w:tab w:val="left" w:pos="992"/>
        </w:tabs>
        <w:autoSpaceDE w:val="0"/>
        <w:autoSpaceDN w:val="0"/>
        <w:spacing w:after="0" w:line="240" w:lineRule="auto"/>
        <w:ind w:left="991"/>
        <w:contextualSpacing w:val="0"/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w w:val="105"/>
          <w:sz w:val="24"/>
          <w:szCs w:val="24"/>
        </w:rPr>
        <w:t>Moisturising / soothing preparations for minor skin</w:t>
      </w:r>
      <w:r w:rsidRPr="00830AA1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830AA1">
        <w:rPr>
          <w:rFonts w:ascii="Arial" w:hAnsi="Arial" w:cs="Arial"/>
          <w:w w:val="105"/>
          <w:sz w:val="24"/>
          <w:szCs w:val="24"/>
        </w:rPr>
        <w:t>conditions</w:t>
      </w:r>
    </w:p>
    <w:p w14:paraId="58A7F027" w14:textId="77777777" w:rsidR="00410116" w:rsidRPr="00830AA1" w:rsidRDefault="00410116" w:rsidP="00410116">
      <w:pPr>
        <w:pStyle w:val="BodyText"/>
        <w:rPr>
          <w:rFonts w:ascii="Arial" w:hAnsi="Arial" w:cs="Arial"/>
          <w:w w:val="110"/>
          <w:szCs w:val="24"/>
        </w:rPr>
      </w:pPr>
    </w:p>
    <w:p w14:paraId="3DB4EE25" w14:textId="359E5011" w:rsidR="00410116" w:rsidRPr="00830AA1" w:rsidRDefault="00410116" w:rsidP="00410116">
      <w:pPr>
        <w:pStyle w:val="BodyText"/>
        <w:rPr>
          <w:rFonts w:ascii="Arial" w:hAnsi="Arial" w:cs="Arial"/>
          <w:b w:val="0"/>
          <w:szCs w:val="24"/>
        </w:rPr>
      </w:pPr>
      <w:r w:rsidRPr="00830AA1">
        <w:rPr>
          <w:rFonts w:ascii="Arial" w:hAnsi="Arial" w:cs="Arial"/>
          <w:b w:val="0"/>
          <w:w w:val="110"/>
          <w:szCs w:val="24"/>
        </w:rPr>
        <w:t xml:space="preserve">All medication must be in the original container and show dosage/expiry date to be administered by a </w:t>
      </w:r>
      <w:r w:rsidR="00830AA1" w:rsidRPr="00830AA1">
        <w:rPr>
          <w:rFonts w:ascii="Arial" w:hAnsi="Arial" w:cs="Arial"/>
          <w:b w:val="0"/>
          <w:w w:val="110"/>
          <w:szCs w:val="24"/>
        </w:rPr>
        <w:t xml:space="preserve">member of staff </w:t>
      </w:r>
      <w:r w:rsidRPr="00830AA1">
        <w:rPr>
          <w:rFonts w:ascii="Arial" w:hAnsi="Arial" w:cs="Arial"/>
          <w:b w:val="0"/>
          <w:w w:val="110"/>
          <w:szCs w:val="24"/>
        </w:rPr>
        <w:t>within school.</w:t>
      </w:r>
    </w:p>
    <w:p w14:paraId="6120E372" w14:textId="77777777" w:rsidR="00410116" w:rsidRPr="00830AA1" w:rsidRDefault="00410116" w:rsidP="00410116">
      <w:pPr>
        <w:pStyle w:val="BodyText"/>
        <w:ind w:right="521"/>
        <w:rPr>
          <w:rFonts w:ascii="Arial" w:hAnsi="Arial" w:cs="Arial"/>
          <w:b w:val="0"/>
          <w:szCs w:val="24"/>
        </w:rPr>
      </w:pPr>
      <w:r w:rsidRPr="00830AA1">
        <w:rPr>
          <w:rFonts w:ascii="Arial" w:hAnsi="Arial" w:cs="Arial"/>
          <w:b w:val="0"/>
          <w:w w:val="110"/>
          <w:szCs w:val="24"/>
        </w:rPr>
        <w:lastRenderedPageBreak/>
        <w:t>To help determine whether a child is well enough to attend school, or an Early Years Provider setting, parents can be advised to review the NHS Choices website.</w:t>
      </w:r>
    </w:p>
    <w:p w14:paraId="45C27CBB" w14:textId="77777777" w:rsidR="00410116" w:rsidRPr="00830AA1" w:rsidRDefault="00410116" w:rsidP="00410116">
      <w:pPr>
        <w:pStyle w:val="BodyText"/>
        <w:ind w:right="521"/>
        <w:rPr>
          <w:rFonts w:ascii="Arial" w:hAnsi="Arial" w:cs="Arial"/>
          <w:b w:val="0"/>
          <w:szCs w:val="24"/>
        </w:rPr>
      </w:pPr>
      <w:r w:rsidRPr="00830AA1">
        <w:rPr>
          <w:rFonts w:ascii="Arial" w:hAnsi="Arial" w:cs="Arial"/>
          <w:b w:val="0"/>
          <w:w w:val="105"/>
          <w:szCs w:val="24"/>
        </w:rPr>
        <w:t xml:space="preserve">If two prescribed medications are required, these should be in separate, </w:t>
      </w:r>
      <w:proofErr w:type="gramStart"/>
      <w:r w:rsidRPr="00830AA1">
        <w:rPr>
          <w:rFonts w:ascii="Arial" w:hAnsi="Arial" w:cs="Arial"/>
          <w:b w:val="0"/>
          <w:w w:val="105"/>
          <w:szCs w:val="24"/>
        </w:rPr>
        <w:t>clearly</w:t>
      </w:r>
      <w:proofErr w:type="gramEnd"/>
      <w:r w:rsidRPr="00830AA1">
        <w:rPr>
          <w:rFonts w:ascii="Arial" w:hAnsi="Arial" w:cs="Arial"/>
          <w:b w:val="0"/>
          <w:w w:val="105"/>
          <w:szCs w:val="24"/>
        </w:rPr>
        <w:t xml:space="preserve"> and appropriately labelled containers as above.</w:t>
      </w:r>
    </w:p>
    <w:p w14:paraId="5137F67D" w14:textId="77777777" w:rsidR="00410116" w:rsidRPr="00830AA1" w:rsidRDefault="00410116" w:rsidP="00410116">
      <w:pPr>
        <w:pStyle w:val="BodyText"/>
        <w:ind w:right="521"/>
        <w:rPr>
          <w:rFonts w:ascii="Arial" w:hAnsi="Arial" w:cs="Arial"/>
          <w:b w:val="0"/>
          <w:szCs w:val="24"/>
        </w:rPr>
      </w:pPr>
      <w:r w:rsidRPr="00830AA1">
        <w:rPr>
          <w:rFonts w:ascii="Arial" w:hAnsi="Arial" w:cs="Arial"/>
          <w:b w:val="0"/>
          <w:w w:val="110"/>
          <w:szCs w:val="24"/>
        </w:rPr>
        <w:t>Arrangements can also be made for parents/</w:t>
      </w:r>
      <w:proofErr w:type="spellStart"/>
      <w:r w:rsidRPr="00830AA1">
        <w:rPr>
          <w:rFonts w:ascii="Arial" w:hAnsi="Arial" w:cs="Arial"/>
          <w:b w:val="0"/>
          <w:w w:val="110"/>
          <w:szCs w:val="24"/>
        </w:rPr>
        <w:t>carers</w:t>
      </w:r>
      <w:proofErr w:type="spellEnd"/>
      <w:r w:rsidRPr="00830AA1">
        <w:rPr>
          <w:rFonts w:ascii="Arial" w:hAnsi="Arial" w:cs="Arial"/>
          <w:b w:val="0"/>
          <w:w w:val="110"/>
          <w:szCs w:val="24"/>
        </w:rPr>
        <w:t xml:space="preserve"> to come into school to administer medication if required.</w:t>
      </w:r>
    </w:p>
    <w:p w14:paraId="6AF7EA1B" w14:textId="77777777" w:rsidR="00960683" w:rsidRPr="00830AA1" w:rsidRDefault="00410116" w:rsidP="00960683">
      <w:pPr>
        <w:pStyle w:val="BodyText"/>
        <w:spacing w:before="1"/>
        <w:ind w:right="305"/>
        <w:rPr>
          <w:rFonts w:ascii="Arial" w:hAnsi="Arial" w:cs="Arial"/>
          <w:b w:val="0"/>
          <w:w w:val="110"/>
          <w:szCs w:val="24"/>
        </w:rPr>
      </w:pPr>
      <w:r w:rsidRPr="00830AA1">
        <w:rPr>
          <w:rFonts w:ascii="Arial" w:hAnsi="Arial" w:cs="Arial"/>
          <w:b w:val="0"/>
          <w:w w:val="110"/>
          <w:szCs w:val="24"/>
        </w:rPr>
        <w:t>On arrival at school, all medication is to be handed to the school office and documentation completed by the parent/</w:t>
      </w:r>
      <w:proofErr w:type="spellStart"/>
      <w:r w:rsidRPr="00830AA1">
        <w:rPr>
          <w:rFonts w:ascii="Arial" w:hAnsi="Arial" w:cs="Arial"/>
          <w:b w:val="0"/>
          <w:w w:val="110"/>
          <w:szCs w:val="24"/>
        </w:rPr>
        <w:t>carer</w:t>
      </w:r>
      <w:proofErr w:type="spellEnd"/>
      <w:r w:rsidRPr="00830AA1">
        <w:rPr>
          <w:rFonts w:ascii="Arial" w:hAnsi="Arial" w:cs="Arial"/>
          <w:b w:val="0"/>
          <w:w w:val="110"/>
          <w:szCs w:val="24"/>
        </w:rPr>
        <w:t>, unless there is prior agreement with school and pupil for the pupil to carry medication (</w:t>
      </w:r>
      <w:proofErr w:type="gramStart"/>
      <w:r w:rsidRPr="00830AA1">
        <w:rPr>
          <w:rFonts w:ascii="Arial" w:hAnsi="Arial" w:cs="Arial"/>
          <w:b w:val="0"/>
          <w:w w:val="110"/>
          <w:szCs w:val="24"/>
        </w:rPr>
        <w:t>e.g.</w:t>
      </w:r>
      <w:proofErr w:type="gramEnd"/>
      <w:r w:rsidRPr="00830AA1">
        <w:rPr>
          <w:rFonts w:ascii="Arial" w:hAnsi="Arial" w:cs="Arial"/>
          <w:b w:val="0"/>
          <w:w w:val="110"/>
          <w:szCs w:val="24"/>
        </w:rPr>
        <w:t xml:space="preserve"> asthma inhalers) and details entered in the medication record.</w:t>
      </w:r>
      <w:bookmarkStart w:id="8" w:name="_Key_roles_and_1"/>
      <w:bookmarkEnd w:id="8"/>
    </w:p>
    <w:p w14:paraId="104A5377" w14:textId="77777777" w:rsidR="00340FBB" w:rsidRPr="00830AA1" w:rsidRDefault="00E72237" w:rsidP="00960683">
      <w:pPr>
        <w:pStyle w:val="BodyText"/>
        <w:spacing w:before="1"/>
        <w:ind w:right="305"/>
        <w:rPr>
          <w:rFonts w:ascii="Arial" w:hAnsi="Arial" w:cs="Arial"/>
          <w:b w:val="0"/>
          <w:szCs w:val="24"/>
        </w:rPr>
      </w:pPr>
      <w:r w:rsidRPr="00830AA1">
        <w:rPr>
          <w:rFonts w:ascii="Arial" w:hAnsi="Arial" w:cs="Arial"/>
          <w:w w:val="110"/>
          <w:szCs w:val="24"/>
        </w:rPr>
        <w:t xml:space="preserve">    </w:t>
      </w:r>
      <w:r w:rsidR="00960683" w:rsidRPr="00830AA1">
        <w:rPr>
          <w:rFonts w:ascii="Arial" w:hAnsi="Arial" w:cs="Arial"/>
          <w:w w:val="110"/>
          <w:szCs w:val="24"/>
        </w:rPr>
        <w:t xml:space="preserve">5. </w:t>
      </w:r>
      <w:r w:rsidR="00340FBB" w:rsidRPr="00830AA1">
        <w:rPr>
          <w:rFonts w:ascii="Arial" w:hAnsi="Arial" w:cs="Arial"/>
          <w:color w:val="000000" w:themeColor="text1"/>
          <w:szCs w:val="24"/>
        </w:rPr>
        <w:t>Key roles and responsibilities</w:t>
      </w:r>
    </w:p>
    <w:p w14:paraId="0E70C31E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The governing body has overall responsibility for the implementation of the Administering Medication Policy and procedures of Hoole Church of England Primary School.</w:t>
      </w:r>
    </w:p>
    <w:p w14:paraId="16FA02EF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104F44AC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The governing body has overall responsibility of ensuring that the Administering Medication Policy, as written, does not discriminate on any grounds, including but not limited </w:t>
      </w:r>
      <w:proofErr w:type="gramStart"/>
      <w:r w:rsidRPr="00830AA1">
        <w:rPr>
          <w:rFonts w:ascii="Arial" w:hAnsi="Arial" w:cs="Arial"/>
          <w:sz w:val="24"/>
          <w:szCs w:val="24"/>
        </w:rPr>
        <w:t>to:</w:t>
      </w:r>
      <w:proofErr w:type="gramEnd"/>
      <w:r w:rsidRPr="00830AA1">
        <w:rPr>
          <w:rFonts w:ascii="Arial" w:hAnsi="Arial" w:cs="Arial"/>
          <w:sz w:val="24"/>
          <w:szCs w:val="24"/>
        </w:rPr>
        <w:t xml:space="preserve"> ethnicity/national origin, culture, religion, gender, disability or sexual orientation.</w:t>
      </w:r>
    </w:p>
    <w:p w14:paraId="4C0A36A7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EDF790A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The governing body is responsible for handling complaints regarding this policy, as outlined in the school’s Complaints Policy. </w:t>
      </w:r>
    </w:p>
    <w:p w14:paraId="1E333C57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2E9EA8ED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The governing body is responsible for ensuring the correct level of insurance is in place for the administration of medication.</w:t>
      </w:r>
    </w:p>
    <w:p w14:paraId="17C36557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E137AE5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The governing body is responsible for ensuring that members of staff who provide support to pupils with medical conditions are suitably trained and have access to information needed. </w:t>
      </w:r>
    </w:p>
    <w:p w14:paraId="0C5E7731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1F0F37AB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The governing body is responsible for ensuring that relevant health and social care professionals are consulted </w:t>
      </w:r>
      <w:proofErr w:type="gramStart"/>
      <w:r w:rsidRPr="00830AA1">
        <w:rPr>
          <w:rFonts w:ascii="Arial" w:hAnsi="Arial" w:cs="Arial"/>
          <w:sz w:val="24"/>
          <w:szCs w:val="24"/>
        </w:rPr>
        <w:t>in order to</w:t>
      </w:r>
      <w:proofErr w:type="gramEnd"/>
      <w:r w:rsidRPr="00830AA1">
        <w:rPr>
          <w:rFonts w:ascii="Arial" w:hAnsi="Arial" w:cs="Arial"/>
          <w:sz w:val="24"/>
          <w:szCs w:val="24"/>
        </w:rPr>
        <w:t xml:space="preserve"> guarantee that the needs of pupils with medical conditions are properly supported. </w:t>
      </w:r>
    </w:p>
    <w:p w14:paraId="25D75CAF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520B7CF1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The governing body will manage any complaints or concerns regarding the support provided or administration of medicine using the school’s Complaints Policy. </w:t>
      </w:r>
    </w:p>
    <w:p w14:paraId="1DC4FB73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28EF32B6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The headteacher is responsible for the day-to-day implementation and management of the Administering Medication Policy and relevant procedures of Hoole Church of England Primary School.</w:t>
      </w:r>
    </w:p>
    <w:p w14:paraId="7B7931FA" w14:textId="77777777" w:rsidR="00960683" w:rsidRPr="00830AA1" w:rsidRDefault="00960683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737F370F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The headteacher is responsible for ensuring that appropriate training is undertaken by staff members administering medication. </w:t>
      </w:r>
    </w:p>
    <w:p w14:paraId="7270225F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52E39451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The headteacher is responsible for ensuring that staff members understand the local emergency services’ cover arrangements and that the correct information is provided for the navigation system. </w:t>
      </w:r>
    </w:p>
    <w:p w14:paraId="7FBDC05D" w14:textId="77777777" w:rsidR="00340FBB" w:rsidRPr="00830AA1" w:rsidRDefault="00340FBB" w:rsidP="008E157E">
      <w:pPr>
        <w:pStyle w:val="TSB-Level1Numbers"/>
        <w:numPr>
          <w:ilvl w:val="0"/>
          <w:numId w:val="0"/>
        </w:numPr>
        <w:ind w:left="-147"/>
        <w:rPr>
          <w:rFonts w:ascii="Arial" w:hAnsi="Arial" w:cs="Arial"/>
          <w:sz w:val="24"/>
          <w:szCs w:val="24"/>
        </w:rPr>
      </w:pPr>
    </w:p>
    <w:p w14:paraId="2D89A0EE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lastRenderedPageBreak/>
        <w:t>Staff, including teachers, support staff and lunchtime supervisory staff, are responsible for following the policy and for ensuring pupils do so also.</w:t>
      </w:r>
    </w:p>
    <w:p w14:paraId="13EF88BB" w14:textId="77777777" w:rsidR="00340FBB" w:rsidRPr="00830AA1" w:rsidRDefault="00340FBB" w:rsidP="008E157E">
      <w:pPr>
        <w:pStyle w:val="TSB-Level1Numbers"/>
        <w:numPr>
          <w:ilvl w:val="0"/>
          <w:numId w:val="0"/>
        </w:numPr>
        <w:ind w:left="-147"/>
        <w:rPr>
          <w:rFonts w:ascii="Arial" w:hAnsi="Arial" w:cs="Arial"/>
          <w:sz w:val="24"/>
          <w:szCs w:val="24"/>
        </w:rPr>
      </w:pPr>
    </w:p>
    <w:p w14:paraId="675D1F3C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Staff, including teachers, support staff and volunteers, are responsible for implementing the agreed policy fairly and consistently.</w:t>
      </w:r>
    </w:p>
    <w:p w14:paraId="7A842E90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BFB4E7D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If a pupil is sent to hospital, at least one member of staff will accompany the pupil until their parent/carer has arrived. </w:t>
      </w:r>
    </w:p>
    <w:p w14:paraId="32FED4C6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75356EB7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Parents/carers are expected to keep the school informed about any changes to their child/children’s health.</w:t>
      </w:r>
    </w:p>
    <w:p w14:paraId="1DE56AED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543D719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Parents/carers are expected to complete a medication administration form prior to bringing medication into school.</w:t>
      </w:r>
    </w:p>
    <w:p w14:paraId="169F9B1F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40EC138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Parents/carers are expected to discuss medications with their child/children prior to requesting that a staff member administers the medication.</w:t>
      </w:r>
    </w:p>
    <w:p w14:paraId="4517235C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23B46C19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The headteacher is responsible for ensuring that all necessary risk assessments are carried out regarding the administration of medication, including for school trips and external activities.</w:t>
      </w:r>
    </w:p>
    <w:p w14:paraId="5BA3AF3B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1865475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In the case of staff absence, the headteacher is responsible for organising another appropriately trained individual to take over the role of administering medication. </w:t>
      </w:r>
    </w:p>
    <w:p w14:paraId="0962E72C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24B2E38" w14:textId="77777777" w:rsidR="00E72237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It is both staff members’ and pupils’ responsibility to understand what action to take in general terms during a possible medical emergency.</w:t>
      </w:r>
      <w:bookmarkStart w:id="9" w:name="_Noise_disturbance"/>
      <w:bookmarkStart w:id="10" w:name="_Section_2"/>
      <w:bookmarkStart w:id="11" w:name="_Definitions"/>
      <w:bookmarkStart w:id="12" w:name="_Section_3"/>
      <w:bookmarkEnd w:id="9"/>
      <w:bookmarkEnd w:id="10"/>
      <w:bookmarkEnd w:id="11"/>
      <w:bookmarkEnd w:id="12"/>
    </w:p>
    <w:p w14:paraId="0938ECC5" w14:textId="77777777" w:rsidR="00E72237" w:rsidRPr="00830AA1" w:rsidRDefault="00E72237" w:rsidP="008E157E">
      <w:pPr>
        <w:pStyle w:val="TSB-Level1Numbers"/>
        <w:numPr>
          <w:ilvl w:val="0"/>
          <w:numId w:val="0"/>
        </w:numPr>
        <w:ind w:left="-147"/>
        <w:rPr>
          <w:rFonts w:ascii="Arial" w:hAnsi="Arial" w:cs="Arial"/>
          <w:sz w:val="24"/>
          <w:szCs w:val="24"/>
        </w:rPr>
      </w:pPr>
    </w:p>
    <w:p w14:paraId="67DFED8C" w14:textId="77777777" w:rsidR="00340FBB" w:rsidRPr="00830AA1" w:rsidRDefault="00E72237" w:rsidP="008E157E">
      <w:pPr>
        <w:pStyle w:val="TSB-Level1Numbers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    </w:t>
      </w:r>
      <w:r w:rsidRPr="00830AA1">
        <w:rPr>
          <w:rFonts w:ascii="Arial" w:hAnsi="Arial" w:cs="Arial"/>
          <w:b/>
          <w:sz w:val="24"/>
          <w:szCs w:val="24"/>
        </w:rPr>
        <w:t xml:space="preserve">6. </w:t>
      </w:r>
      <w:r w:rsidR="00340FBB" w:rsidRPr="00830AA1">
        <w:rPr>
          <w:rFonts w:ascii="Arial" w:hAnsi="Arial" w:cs="Arial"/>
          <w:b/>
          <w:sz w:val="24"/>
          <w:szCs w:val="24"/>
        </w:rPr>
        <w:t>Training of staff</w:t>
      </w:r>
    </w:p>
    <w:p w14:paraId="14A9059A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Teachers and support staff will receive training on the Administering Medication Policy as part of their new starter induction.</w:t>
      </w:r>
    </w:p>
    <w:p w14:paraId="3348B472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73F488B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Teachers and support staff will receive regular and ongoing training as part of their development.</w:t>
      </w:r>
    </w:p>
    <w:p w14:paraId="21CEA8C8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102DC18C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The headteacher will ensure that </w:t>
      </w:r>
      <w:proofErr w:type="gramStart"/>
      <w:r w:rsidRPr="00830AA1">
        <w:rPr>
          <w:rFonts w:ascii="Arial" w:hAnsi="Arial" w:cs="Arial"/>
          <w:sz w:val="24"/>
          <w:szCs w:val="24"/>
        </w:rPr>
        <w:t>a sufficient number of</w:t>
      </w:r>
      <w:proofErr w:type="gramEnd"/>
      <w:r w:rsidRPr="00830AA1">
        <w:rPr>
          <w:rFonts w:ascii="Arial" w:hAnsi="Arial" w:cs="Arial"/>
          <w:sz w:val="24"/>
          <w:szCs w:val="24"/>
        </w:rPr>
        <w:t xml:space="preserve"> staff are suitably trained in administering medication. </w:t>
      </w:r>
    </w:p>
    <w:p w14:paraId="4666D6E0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724E1FFF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All relevant staff will be made aware of a pupil’s medical condition.</w:t>
      </w:r>
    </w:p>
    <w:p w14:paraId="3A2E648F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20D4A395" w14:textId="15727E09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The headteacher will ensure that supply teachers are appropriately briefed regarding pupils’ medical conditions where relevant.  </w:t>
      </w:r>
    </w:p>
    <w:p w14:paraId="6459DB49" w14:textId="77777777" w:rsidR="00830AA1" w:rsidRPr="00830AA1" w:rsidRDefault="00830AA1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1894589C" w14:textId="77777777" w:rsidR="00E72237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Hoole Church of England Primary School will provide whole-school awareness training so that all staff are aware of the Administering Medication Policy and understand their role in implementing the policy.</w:t>
      </w:r>
      <w:bookmarkStart w:id="13" w:name="_Section_4"/>
      <w:bookmarkStart w:id="14" w:name="_Guidelines"/>
      <w:bookmarkStart w:id="15" w:name="_Medication"/>
      <w:bookmarkEnd w:id="13"/>
      <w:bookmarkEnd w:id="14"/>
      <w:bookmarkEnd w:id="15"/>
    </w:p>
    <w:p w14:paraId="0E18051C" w14:textId="77777777" w:rsidR="00E72237" w:rsidRPr="00830AA1" w:rsidRDefault="00E72237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A88ABA2" w14:textId="77777777" w:rsidR="00340FBB" w:rsidRPr="00830AA1" w:rsidRDefault="00E72237" w:rsidP="008E157E">
      <w:pPr>
        <w:pStyle w:val="TSB-Level1Numbers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830AA1">
        <w:rPr>
          <w:rFonts w:ascii="Arial" w:hAnsi="Arial" w:cs="Arial"/>
          <w:b/>
          <w:sz w:val="24"/>
          <w:szCs w:val="24"/>
        </w:rPr>
        <w:t xml:space="preserve">     7.  </w:t>
      </w:r>
      <w:r w:rsidR="00340FBB" w:rsidRPr="00830AA1">
        <w:rPr>
          <w:rFonts w:ascii="Arial" w:hAnsi="Arial" w:cs="Arial"/>
          <w:b/>
          <w:sz w:val="24"/>
          <w:szCs w:val="24"/>
        </w:rPr>
        <w:t>Medication</w:t>
      </w:r>
    </w:p>
    <w:p w14:paraId="782D42FC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Prior to staff members administering any medication, the parents/carers of the pupil must complete and sign a medication administration form.</w:t>
      </w:r>
    </w:p>
    <w:p w14:paraId="7B6FB547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78A6F30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lastRenderedPageBreak/>
        <w:t>Medicines must be in date, labelled, and provided in the original container with dosage instructions. Medicines which do not meet these criteria will not be administered.</w:t>
      </w:r>
    </w:p>
    <w:p w14:paraId="64D84ACB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58BA3D17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Before administering medicine, maximum dosages and when the previous dose was taken will be checked. </w:t>
      </w:r>
    </w:p>
    <w:p w14:paraId="7BC6720B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7121645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A maximum of four weeks’ supply of medication may be provided to the school. </w:t>
      </w:r>
    </w:p>
    <w:p w14:paraId="5BED1BB9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24D6D10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When medicines are no longer required, they will be returned to the parents/carers of the pupil.</w:t>
      </w:r>
    </w:p>
    <w:p w14:paraId="5F5DC505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2B5C323A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Medications will only be administered at school if it would be detrimental to the child not to do so.</w:t>
      </w:r>
    </w:p>
    <w:p w14:paraId="0AFF93A5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9CFD9BE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In the event of a school trip or activity which involves leaving the school premises, </w:t>
      </w:r>
      <w:proofErr w:type="gramStart"/>
      <w:r w:rsidRPr="00830AA1">
        <w:rPr>
          <w:rFonts w:ascii="Arial" w:hAnsi="Arial" w:cs="Arial"/>
          <w:sz w:val="24"/>
          <w:szCs w:val="24"/>
        </w:rPr>
        <w:t>medicines</w:t>
      </w:r>
      <w:proofErr w:type="gramEnd"/>
      <w:r w:rsidRPr="00830AA1">
        <w:rPr>
          <w:rFonts w:ascii="Arial" w:hAnsi="Arial" w:cs="Arial"/>
          <w:sz w:val="24"/>
          <w:szCs w:val="24"/>
        </w:rPr>
        <w:t xml:space="preserve"> and devices, such as insulin pens and asthma inhalers, will be readily available to staff and pupils. </w:t>
      </w:r>
    </w:p>
    <w:p w14:paraId="05E0F55D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2231B220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Any medications left over at the end of the course will be returned to the pupil’s parent/carer.  </w:t>
      </w:r>
    </w:p>
    <w:p w14:paraId="678B3816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62F38240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Written records will be kept for any medication administered to pupils.</w:t>
      </w:r>
    </w:p>
    <w:p w14:paraId="32D8BE6C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00E01A9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Hoole Church of England Primary School cannot be held responsible for side effects which occur when medication is taken correctly.</w:t>
      </w:r>
    </w:p>
    <w:p w14:paraId="746294B8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4F05F5E" w14:textId="77777777" w:rsidR="00E72237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Where a pupil’s medical condition is unclear, or where there is a difference of opinion, judgements about what support to provide will be based on the available evidence, including a consultation with parents/carers. </w:t>
      </w:r>
      <w:bookmarkStart w:id="16" w:name="_Encountering_peafowl"/>
      <w:bookmarkStart w:id="17" w:name="_Resolving_disputes"/>
      <w:bookmarkStart w:id="18" w:name="_Inclusion"/>
      <w:bookmarkStart w:id="19" w:name="_Policy_review"/>
      <w:bookmarkStart w:id="20" w:name="_Monitor_and_review"/>
      <w:bookmarkStart w:id="21" w:name="_Individual_health_care"/>
      <w:bookmarkStart w:id="22" w:name="_Individual_healthcare_plans"/>
      <w:bookmarkEnd w:id="16"/>
      <w:bookmarkEnd w:id="17"/>
      <w:bookmarkEnd w:id="18"/>
      <w:bookmarkEnd w:id="19"/>
      <w:bookmarkEnd w:id="20"/>
      <w:bookmarkEnd w:id="21"/>
      <w:bookmarkEnd w:id="22"/>
    </w:p>
    <w:p w14:paraId="14874AD4" w14:textId="77777777" w:rsidR="00E72237" w:rsidRPr="00830AA1" w:rsidRDefault="00E72237" w:rsidP="008E157E">
      <w:pPr>
        <w:pStyle w:val="TSB-Level1Numbers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254E6AE7" w14:textId="77777777" w:rsidR="00340FBB" w:rsidRPr="00830AA1" w:rsidRDefault="00E72237" w:rsidP="008E157E">
      <w:pPr>
        <w:pStyle w:val="TSB-Level1Numbers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830AA1">
        <w:rPr>
          <w:rFonts w:ascii="Arial" w:hAnsi="Arial" w:cs="Arial"/>
          <w:b/>
          <w:sz w:val="24"/>
          <w:szCs w:val="24"/>
        </w:rPr>
        <w:t xml:space="preserve">     8.   </w:t>
      </w:r>
      <w:r w:rsidR="00340FBB" w:rsidRPr="00830AA1">
        <w:rPr>
          <w:rFonts w:ascii="Arial" w:hAnsi="Arial" w:cs="Arial"/>
          <w:b/>
          <w:sz w:val="24"/>
          <w:szCs w:val="24"/>
        </w:rPr>
        <w:t>Individual healthcare plans (HCP)</w:t>
      </w:r>
    </w:p>
    <w:p w14:paraId="4C67E91F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For chronic or long-term conditions and disabilities, an HCP will be developed in liaison with the pupil, parents/carers, headteacher, Inclusion Leader and medical professionals.</w:t>
      </w:r>
    </w:p>
    <w:p w14:paraId="496735DC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178A0C78" w14:textId="77777777" w:rsidR="00340FBB" w:rsidRPr="00830AA1" w:rsidRDefault="00340FBB" w:rsidP="008E157E">
      <w:pPr>
        <w:pStyle w:val="TSB-Level1Numbers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When deciding what information should be recorded on </w:t>
      </w:r>
      <w:proofErr w:type="gramStart"/>
      <w:r w:rsidRPr="00830AA1">
        <w:rPr>
          <w:rFonts w:ascii="Arial" w:hAnsi="Arial" w:cs="Arial"/>
          <w:sz w:val="24"/>
          <w:szCs w:val="24"/>
        </w:rPr>
        <w:t>a</w:t>
      </w:r>
      <w:proofErr w:type="gramEnd"/>
      <w:r w:rsidRPr="00830AA1">
        <w:rPr>
          <w:rFonts w:ascii="Arial" w:hAnsi="Arial" w:cs="Arial"/>
          <w:sz w:val="24"/>
          <w:szCs w:val="24"/>
        </w:rPr>
        <w:t xml:space="preserve"> HCP, the governing body will consider the following:</w:t>
      </w:r>
    </w:p>
    <w:p w14:paraId="260D1F61" w14:textId="77777777" w:rsidR="00340FBB" w:rsidRPr="00830AA1" w:rsidRDefault="00340FBB" w:rsidP="00340FBB">
      <w:pPr>
        <w:pStyle w:val="TSB-PolicyBullets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30AA1">
        <w:rPr>
          <w:rFonts w:ascii="Arial" w:hAnsi="Arial" w:cs="Arial"/>
          <w:color w:val="000000" w:themeColor="text1"/>
          <w:sz w:val="24"/>
          <w:szCs w:val="24"/>
        </w:rPr>
        <w:t xml:space="preserve">The medical condition, as well as its triggers, signs, </w:t>
      </w:r>
      <w:proofErr w:type="gramStart"/>
      <w:r w:rsidRPr="00830AA1">
        <w:rPr>
          <w:rFonts w:ascii="Arial" w:hAnsi="Arial" w:cs="Arial"/>
          <w:color w:val="000000" w:themeColor="text1"/>
          <w:sz w:val="24"/>
          <w:szCs w:val="24"/>
        </w:rPr>
        <w:t>symptoms</w:t>
      </w:r>
      <w:proofErr w:type="gramEnd"/>
      <w:r w:rsidRPr="00830AA1">
        <w:rPr>
          <w:rFonts w:ascii="Arial" w:hAnsi="Arial" w:cs="Arial"/>
          <w:color w:val="000000" w:themeColor="text1"/>
          <w:sz w:val="24"/>
          <w:szCs w:val="24"/>
        </w:rPr>
        <w:t xml:space="preserve"> and treatments </w:t>
      </w:r>
    </w:p>
    <w:p w14:paraId="60798029" w14:textId="77777777" w:rsidR="00340FBB" w:rsidRPr="00830AA1" w:rsidRDefault="00340FBB" w:rsidP="00340FBB">
      <w:pPr>
        <w:pStyle w:val="TSB-PolicyBullets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30AA1">
        <w:rPr>
          <w:rFonts w:ascii="Arial" w:hAnsi="Arial" w:cs="Arial"/>
          <w:color w:val="000000" w:themeColor="text1"/>
          <w:sz w:val="24"/>
          <w:szCs w:val="24"/>
        </w:rPr>
        <w:t>The pupil’s resulting needs, such as medication (the correct dosage and possible side effects), equipment and dietary requirements</w:t>
      </w:r>
    </w:p>
    <w:p w14:paraId="3036A061" w14:textId="77777777" w:rsidR="00340FBB" w:rsidRPr="00830AA1" w:rsidRDefault="00340FBB" w:rsidP="00340FBB">
      <w:pPr>
        <w:pStyle w:val="TSB-PolicyBullets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30AA1">
        <w:rPr>
          <w:rFonts w:ascii="Arial" w:hAnsi="Arial" w:cs="Arial"/>
          <w:color w:val="000000" w:themeColor="text1"/>
          <w:sz w:val="24"/>
          <w:szCs w:val="24"/>
        </w:rPr>
        <w:t xml:space="preserve">The specific support needed for the pupil’s educational, </w:t>
      </w:r>
      <w:proofErr w:type="gramStart"/>
      <w:r w:rsidRPr="00830AA1">
        <w:rPr>
          <w:rFonts w:ascii="Arial" w:hAnsi="Arial" w:cs="Arial"/>
          <w:color w:val="000000" w:themeColor="text1"/>
          <w:sz w:val="24"/>
          <w:szCs w:val="24"/>
        </w:rPr>
        <w:t>social</w:t>
      </w:r>
      <w:proofErr w:type="gramEnd"/>
      <w:r w:rsidRPr="00830AA1">
        <w:rPr>
          <w:rFonts w:ascii="Arial" w:hAnsi="Arial" w:cs="Arial"/>
          <w:color w:val="000000" w:themeColor="text1"/>
          <w:sz w:val="24"/>
          <w:szCs w:val="24"/>
        </w:rPr>
        <w:t xml:space="preserve"> and emotional needs</w:t>
      </w:r>
    </w:p>
    <w:p w14:paraId="3AB369E7" w14:textId="77777777" w:rsidR="00340FBB" w:rsidRPr="00830AA1" w:rsidRDefault="00340FBB" w:rsidP="00340FBB">
      <w:pPr>
        <w:pStyle w:val="TSB-PolicyBullets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30AA1">
        <w:rPr>
          <w:rFonts w:ascii="Arial" w:hAnsi="Arial" w:cs="Arial"/>
          <w:color w:val="000000" w:themeColor="text1"/>
          <w:sz w:val="24"/>
          <w:szCs w:val="24"/>
        </w:rPr>
        <w:t>The level of support that is needed and whether the pupil will be able to take responsibility for their own health needs</w:t>
      </w:r>
    </w:p>
    <w:p w14:paraId="0FF29365" w14:textId="77777777" w:rsidR="00340FBB" w:rsidRPr="00830AA1" w:rsidRDefault="00340FBB" w:rsidP="00340FBB">
      <w:pPr>
        <w:pStyle w:val="TSB-PolicyBullets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30AA1">
        <w:rPr>
          <w:rFonts w:ascii="Arial" w:hAnsi="Arial" w:cs="Arial"/>
          <w:color w:val="000000" w:themeColor="text1"/>
          <w:sz w:val="24"/>
          <w:szCs w:val="24"/>
        </w:rPr>
        <w:t>The type of provision and training that is required, including whether staff can be expected to fulfil the support necessary as part of their role</w:t>
      </w:r>
    </w:p>
    <w:p w14:paraId="680D4050" w14:textId="77777777" w:rsidR="00340FBB" w:rsidRPr="00830AA1" w:rsidRDefault="00340FBB" w:rsidP="00340FBB">
      <w:pPr>
        <w:pStyle w:val="TSB-PolicyBullets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30AA1">
        <w:rPr>
          <w:rFonts w:ascii="Arial" w:hAnsi="Arial" w:cs="Arial"/>
          <w:color w:val="000000" w:themeColor="text1"/>
          <w:sz w:val="24"/>
          <w:szCs w:val="24"/>
        </w:rPr>
        <w:t>Which staff members need to be aware of the pupil’s condition</w:t>
      </w:r>
    </w:p>
    <w:p w14:paraId="5F6926DC" w14:textId="77777777" w:rsidR="00340FBB" w:rsidRPr="00830AA1" w:rsidRDefault="00340FBB" w:rsidP="00340FBB">
      <w:pPr>
        <w:pStyle w:val="TSB-PolicyBullets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30AA1">
        <w:rPr>
          <w:rFonts w:ascii="Arial" w:hAnsi="Arial" w:cs="Arial"/>
          <w:color w:val="000000" w:themeColor="text1"/>
          <w:sz w:val="24"/>
          <w:szCs w:val="24"/>
        </w:rPr>
        <w:lastRenderedPageBreak/>
        <w:t>Arrangements for receiving parental consent to administer medication</w:t>
      </w:r>
    </w:p>
    <w:p w14:paraId="6004B20B" w14:textId="77777777" w:rsidR="00340FBB" w:rsidRPr="00830AA1" w:rsidRDefault="00340FBB" w:rsidP="00340FBB">
      <w:pPr>
        <w:pStyle w:val="TSB-PolicyBullets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30AA1">
        <w:rPr>
          <w:rFonts w:ascii="Arial" w:hAnsi="Arial" w:cs="Arial"/>
          <w:color w:val="000000" w:themeColor="text1"/>
          <w:sz w:val="24"/>
          <w:szCs w:val="24"/>
        </w:rPr>
        <w:t xml:space="preserve">Separate arrangements which may be required for school trips and external activities </w:t>
      </w:r>
    </w:p>
    <w:p w14:paraId="2F2F2DF5" w14:textId="77777777" w:rsidR="00340FBB" w:rsidRPr="00830AA1" w:rsidRDefault="00340FBB" w:rsidP="00340FBB">
      <w:pPr>
        <w:pStyle w:val="TSB-PolicyBullets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30AA1">
        <w:rPr>
          <w:rFonts w:ascii="Arial" w:hAnsi="Arial" w:cs="Arial"/>
          <w:color w:val="000000" w:themeColor="text1"/>
          <w:sz w:val="24"/>
          <w:szCs w:val="24"/>
        </w:rPr>
        <w:t xml:space="preserve">Which staff member can fulfil the role of being a designated, entrusted individual where confidentiality issues are </w:t>
      </w:r>
      <w:proofErr w:type="gramStart"/>
      <w:r w:rsidRPr="00830AA1">
        <w:rPr>
          <w:rFonts w:ascii="Arial" w:hAnsi="Arial" w:cs="Arial"/>
          <w:color w:val="000000" w:themeColor="text1"/>
          <w:sz w:val="24"/>
          <w:szCs w:val="24"/>
        </w:rPr>
        <w:t>raised</w:t>
      </w:r>
      <w:proofErr w:type="gramEnd"/>
    </w:p>
    <w:p w14:paraId="4002E14D" w14:textId="77777777" w:rsidR="00340FBB" w:rsidRPr="00830AA1" w:rsidRDefault="00340FBB" w:rsidP="00340FBB">
      <w:pPr>
        <w:pStyle w:val="TSB-PolicyBullets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30AA1">
        <w:rPr>
          <w:rFonts w:ascii="Arial" w:hAnsi="Arial" w:cs="Arial"/>
          <w:color w:val="000000" w:themeColor="text1"/>
          <w:sz w:val="24"/>
          <w:szCs w:val="24"/>
        </w:rPr>
        <w:t>What to do in an emergency, including whom to contact and contingency arrangements</w:t>
      </w:r>
    </w:p>
    <w:p w14:paraId="498A23E2" w14:textId="77777777" w:rsidR="00340FBB" w:rsidRPr="00830AA1" w:rsidRDefault="00340FBB" w:rsidP="00340FBB">
      <w:pPr>
        <w:pStyle w:val="TSB-PolicyBullets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30AA1">
        <w:rPr>
          <w:rFonts w:ascii="Arial" w:hAnsi="Arial" w:cs="Arial"/>
          <w:color w:val="000000" w:themeColor="text1"/>
          <w:sz w:val="24"/>
          <w:szCs w:val="24"/>
        </w:rPr>
        <w:t xml:space="preserve">What is defined as an emergency, including the signs and symptoms that staff members should look out for. </w:t>
      </w:r>
    </w:p>
    <w:p w14:paraId="538F77EE" w14:textId="77777777" w:rsidR="00340FBB" w:rsidRPr="00830AA1" w:rsidRDefault="00340FBB" w:rsidP="00340FBB">
      <w:pPr>
        <w:pStyle w:val="TSB-PolicyBullets"/>
        <w:numPr>
          <w:ilvl w:val="0"/>
          <w:numId w:val="0"/>
        </w:numPr>
        <w:spacing w:after="0" w:line="240" w:lineRule="auto"/>
        <w:ind w:left="1418"/>
        <w:rPr>
          <w:rFonts w:ascii="Arial" w:hAnsi="Arial" w:cs="Arial"/>
          <w:color w:val="000000" w:themeColor="text1"/>
          <w:sz w:val="24"/>
          <w:szCs w:val="24"/>
        </w:rPr>
      </w:pPr>
    </w:p>
    <w:p w14:paraId="41F8D5B4" w14:textId="77777777" w:rsidR="00340FBB" w:rsidRPr="00830AA1" w:rsidRDefault="00340FBB" w:rsidP="008E157E">
      <w:pPr>
        <w:pStyle w:val="TSB-Level1Numbers"/>
        <w:numPr>
          <w:ilvl w:val="0"/>
          <w:numId w:val="0"/>
        </w:numPr>
        <w:ind w:left="357"/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The governing body will ensure that HCPs are reviewed at least annually. HCPs will be routinely monitored throughout the year by the Inclusion Leader. </w:t>
      </w:r>
    </w:p>
    <w:p w14:paraId="022B37FB" w14:textId="77777777" w:rsidR="00340FBB" w:rsidRPr="00830AA1" w:rsidRDefault="00340FBB" w:rsidP="008E157E">
      <w:pPr>
        <w:pStyle w:val="TSB-Level1Numbers"/>
        <w:numPr>
          <w:ilvl w:val="0"/>
          <w:numId w:val="0"/>
        </w:numPr>
        <w:ind w:left="998"/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 </w:t>
      </w:r>
    </w:p>
    <w:p w14:paraId="4F0F46A3" w14:textId="77777777" w:rsidR="00340FBB" w:rsidRPr="00830AA1" w:rsidRDefault="00E72237" w:rsidP="008E157E">
      <w:pPr>
        <w:pStyle w:val="Heading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23" w:name="_Monitor_and_review_1"/>
      <w:bookmarkEnd w:id="23"/>
      <w:r w:rsidRPr="00830AA1">
        <w:rPr>
          <w:rFonts w:ascii="Arial" w:hAnsi="Arial" w:cs="Arial"/>
          <w:sz w:val="24"/>
          <w:szCs w:val="24"/>
        </w:rPr>
        <w:t xml:space="preserve">          9.</w:t>
      </w:r>
      <w:r w:rsidR="00340FBB" w:rsidRPr="00830AA1">
        <w:rPr>
          <w:rFonts w:ascii="Arial" w:hAnsi="Arial" w:cs="Arial"/>
          <w:sz w:val="24"/>
          <w:szCs w:val="24"/>
        </w:rPr>
        <w:t>Monitor and review</w:t>
      </w:r>
    </w:p>
    <w:p w14:paraId="1815CCBC" w14:textId="03CE2F61" w:rsidR="00340FBB" w:rsidRPr="00830AA1" w:rsidRDefault="00340FBB" w:rsidP="008E157E">
      <w:pPr>
        <w:pStyle w:val="TSB-Level1Numbers"/>
        <w:numPr>
          <w:ilvl w:val="0"/>
          <w:numId w:val="0"/>
        </w:numPr>
        <w:ind w:left="357"/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>This policy is reviewed every two years by the governing body and the headteacher. The date of the next review is March 202</w:t>
      </w:r>
      <w:r w:rsidR="00830AA1" w:rsidRPr="00830AA1">
        <w:rPr>
          <w:rFonts w:ascii="Arial" w:hAnsi="Arial" w:cs="Arial"/>
          <w:sz w:val="24"/>
          <w:szCs w:val="24"/>
        </w:rPr>
        <w:t>4</w:t>
      </w:r>
      <w:r w:rsidRPr="00830AA1">
        <w:rPr>
          <w:rFonts w:ascii="Arial" w:hAnsi="Arial" w:cs="Arial"/>
          <w:sz w:val="24"/>
          <w:szCs w:val="24"/>
        </w:rPr>
        <w:t xml:space="preserve">. </w:t>
      </w:r>
    </w:p>
    <w:p w14:paraId="175C19E6" w14:textId="77777777" w:rsidR="00340FBB" w:rsidRPr="00830AA1" w:rsidRDefault="00340FBB" w:rsidP="008E157E">
      <w:pPr>
        <w:pStyle w:val="TSB-Level1Numbers"/>
        <w:numPr>
          <w:ilvl w:val="0"/>
          <w:numId w:val="0"/>
        </w:numPr>
        <w:ind w:left="357"/>
        <w:rPr>
          <w:rFonts w:ascii="Arial" w:hAnsi="Arial" w:cs="Arial"/>
          <w:sz w:val="24"/>
          <w:szCs w:val="24"/>
        </w:rPr>
      </w:pPr>
    </w:p>
    <w:p w14:paraId="435A389D" w14:textId="77777777" w:rsidR="00340FBB" w:rsidRPr="00830AA1" w:rsidRDefault="00340FBB" w:rsidP="008E157E">
      <w:pPr>
        <w:pStyle w:val="TSB-Level1Numbers"/>
        <w:numPr>
          <w:ilvl w:val="0"/>
          <w:numId w:val="0"/>
        </w:numPr>
        <w:ind w:left="357"/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Records of medication, which have been administered on school grounds, will be monitored and the information will be used to improve school procedures. </w:t>
      </w:r>
    </w:p>
    <w:p w14:paraId="773AB161" w14:textId="77777777" w:rsidR="00340FBB" w:rsidRPr="00830AA1" w:rsidRDefault="00340FBB" w:rsidP="008E157E">
      <w:pPr>
        <w:pStyle w:val="TSB-Level1Numbers"/>
        <w:numPr>
          <w:ilvl w:val="0"/>
          <w:numId w:val="0"/>
        </w:numPr>
        <w:ind w:left="357"/>
        <w:rPr>
          <w:rFonts w:ascii="Arial" w:hAnsi="Arial" w:cs="Arial"/>
          <w:sz w:val="24"/>
          <w:szCs w:val="24"/>
        </w:rPr>
      </w:pPr>
    </w:p>
    <w:p w14:paraId="21B3C7FB" w14:textId="77777777" w:rsidR="00340FBB" w:rsidRPr="00830AA1" w:rsidRDefault="00340FBB" w:rsidP="008E157E">
      <w:pPr>
        <w:pStyle w:val="TSB-Level1Numbers"/>
        <w:numPr>
          <w:ilvl w:val="0"/>
          <w:numId w:val="0"/>
        </w:numPr>
        <w:ind w:left="357"/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Staff members who are trained to administer medication will routinely recommend any improvements to the procedure. </w:t>
      </w:r>
    </w:p>
    <w:p w14:paraId="090BB7D6" w14:textId="77777777" w:rsidR="00340FBB" w:rsidRPr="00830AA1" w:rsidRDefault="00340FBB" w:rsidP="008E157E">
      <w:pPr>
        <w:pStyle w:val="TSB-Level1Numbers"/>
        <w:numPr>
          <w:ilvl w:val="0"/>
          <w:numId w:val="0"/>
        </w:numPr>
        <w:ind w:left="357"/>
        <w:rPr>
          <w:rFonts w:ascii="Arial" w:hAnsi="Arial" w:cs="Arial"/>
          <w:sz w:val="24"/>
          <w:szCs w:val="24"/>
        </w:rPr>
      </w:pPr>
    </w:p>
    <w:p w14:paraId="21984371" w14:textId="77777777" w:rsidR="00340FBB" w:rsidRPr="00830AA1" w:rsidRDefault="00340FBB" w:rsidP="008E157E">
      <w:pPr>
        <w:pStyle w:val="TSB-Level1Numbers"/>
        <w:numPr>
          <w:ilvl w:val="0"/>
          <w:numId w:val="0"/>
        </w:numPr>
        <w:ind w:left="357"/>
        <w:rPr>
          <w:rFonts w:ascii="Arial" w:hAnsi="Arial" w:cs="Arial"/>
          <w:sz w:val="24"/>
          <w:szCs w:val="24"/>
        </w:rPr>
      </w:pPr>
      <w:r w:rsidRPr="00830AA1">
        <w:rPr>
          <w:rFonts w:ascii="Arial" w:hAnsi="Arial" w:cs="Arial"/>
          <w:sz w:val="24"/>
          <w:szCs w:val="24"/>
        </w:rPr>
        <w:t xml:space="preserve">Hoole Church of England Primary School will seek advice from any relevant healthcare professionals as deemed necessary. </w:t>
      </w:r>
    </w:p>
    <w:p w14:paraId="69601074" w14:textId="77777777" w:rsidR="005B4AB1" w:rsidRPr="00830AA1" w:rsidRDefault="005B4AB1" w:rsidP="00E72237">
      <w:pPr>
        <w:rPr>
          <w:rFonts w:cs="Arial"/>
          <w:sz w:val="24"/>
          <w:szCs w:val="24"/>
        </w:rPr>
      </w:pPr>
    </w:p>
    <w:sectPr w:rsidR="005B4AB1" w:rsidRPr="00830AA1" w:rsidSect="008E157E">
      <w:pgSz w:w="11900" w:h="16840"/>
      <w:pgMar w:top="1134" w:right="1800" w:bottom="1134" w:left="1191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05C8"/>
    <w:multiLevelType w:val="hybridMultilevel"/>
    <w:tmpl w:val="835C008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8C22A1"/>
    <w:multiLevelType w:val="multilevel"/>
    <w:tmpl w:val="7C621AEA"/>
    <w:numStyleLink w:val="Style1"/>
  </w:abstractNum>
  <w:abstractNum w:abstractNumId="2" w15:restartNumberingAfterBreak="0">
    <w:nsid w:val="50A3531D"/>
    <w:multiLevelType w:val="multilevel"/>
    <w:tmpl w:val="7C621AEA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7A63EB"/>
    <w:multiLevelType w:val="hybridMultilevel"/>
    <w:tmpl w:val="0F7663F6"/>
    <w:lvl w:ilvl="0" w:tplc="57BE6E50">
      <w:start w:val="1"/>
      <w:numFmt w:val="bullet"/>
      <w:pStyle w:val="TSB-PolicyBullets"/>
      <w:lvlText w:val=""/>
      <w:lvlJc w:val="left"/>
      <w:pPr>
        <w:ind w:left="31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3" w:hanging="360"/>
      </w:pPr>
      <w:rPr>
        <w:rFonts w:ascii="Wingdings" w:hAnsi="Wingdings" w:hint="default"/>
      </w:rPr>
    </w:lvl>
  </w:abstractNum>
  <w:abstractNum w:abstractNumId="4" w15:restartNumberingAfterBreak="0">
    <w:nsid w:val="58DE07F4"/>
    <w:multiLevelType w:val="hybridMultilevel"/>
    <w:tmpl w:val="9C42FCC8"/>
    <w:lvl w:ilvl="0" w:tplc="4D4E2DD6">
      <w:numFmt w:val="bullet"/>
      <w:lvlText w:val="•"/>
      <w:lvlJc w:val="left"/>
      <w:pPr>
        <w:ind w:left="973" w:hanging="1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44CDF6E">
      <w:numFmt w:val="bullet"/>
      <w:lvlText w:val="•"/>
      <w:lvlJc w:val="left"/>
      <w:pPr>
        <w:ind w:left="1898" w:hanging="151"/>
      </w:pPr>
      <w:rPr>
        <w:rFonts w:hint="default"/>
      </w:rPr>
    </w:lvl>
    <w:lvl w:ilvl="2" w:tplc="100E43E2">
      <w:numFmt w:val="bullet"/>
      <w:lvlText w:val="•"/>
      <w:lvlJc w:val="left"/>
      <w:pPr>
        <w:ind w:left="2816" w:hanging="151"/>
      </w:pPr>
      <w:rPr>
        <w:rFonts w:hint="default"/>
      </w:rPr>
    </w:lvl>
    <w:lvl w:ilvl="3" w:tplc="C122C5F4">
      <w:numFmt w:val="bullet"/>
      <w:lvlText w:val="•"/>
      <w:lvlJc w:val="left"/>
      <w:pPr>
        <w:ind w:left="3734" w:hanging="151"/>
      </w:pPr>
      <w:rPr>
        <w:rFonts w:hint="default"/>
      </w:rPr>
    </w:lvl>
    <w:lvl w:ilvl="4" w:tplc="C93CA2C2">
      <w:numFmt w:val="bullet"/>
      <w:lvlText w:val="•"/>
      <w:lvlJc w:val="left"/>
      <w:pPr>
        <w:ind w:left="4652" w:hanging="151"/>
      </w:pPr>
      <w:rPr>
        <w:rFonts w:hint="default"/>
      </w:rPr>
    </w:lvl>
    <w:lvl w:ilvl="5" w:tplc="9B36CF8C">
      <w:numFmt w:val="bullet"/>
      <w:lvlText w:val="•"/>
      <w:lvlJc w:val="left"/>
      <w:pPr>
        <w:ind w:left="5570" w:hanging="151"/>
      </w:pPr>
      <w:rPr>
        <w:rFonts w:hint="default"/>
      </w:rPr>
    </w:lvl>
    <w:lvl w:ilvl="6" w:tplc="B0BA6A32">
      <w:numFmt w:val="bullet"/>
      <w:lvlText w:val="•"/>
      <w:lvlJc w:val="left"/>
      <w:pPr>
        <w:ind w:left="6488" w:hanging="151"/>
      </w:pPr>
      <w:rPr>
        <w:rFonts w:hint="default"/>
      </w:rPr>
    </w:lvl>
    <w:lvl w:ilvl="7" w:tplc="8A62480E">
      <w:numFmt w:val="bullet"/>
      <w:lvlText w:val="•"/>
      <w:lvlJc w:val="left"/>
      <w:pPr>
        <w:ind w:left="7406" w:hanging="151"/>
      </w:pPr>
      <w:rPr>
        <w:rFonts w:hint="default"/>
      </w:rPr>
    </w:lvl>
    <w:lvl w:ilvl="8" w:tplc="9D7052E4">
      <w:numFmt w:val="bullet"/>
      <w:lvlText w:val="•"/>
      <w:lvlJc w:val="left"/>
      <w:pPr>
        <w:ind w:left="8324" w:hanging="151"/>
      </w:pPr>
      <w:rPr>
        <w:rFonts w:hint="default"/>
      </w:rPr>
    </w:lvl>
  </w:abstractNum>
  <w:abstractNum w:abstractNumId="5" w15:restartNumberingAfterBreak="0">
    <w:nsid w:val="5A715B6D"/>
    <w:multiLevelType w:val="hybridMultilevel"/>
    <w:tmpl w:val="7020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686244"/>
    <w:multiLevelType w:val="hybridMultilevel"/>
    <w:tmpl w:val="D068D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3"/>
  </w:num>
  <w:num w:numId="6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934" w:hanging="432"/>
        </w:pPr>
        <w:rPr>
          <w:rFonts w:asciiTheme="minorHAnsi" w:hAnsiTheme="minorHAnsi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366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870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374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78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382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886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462" w:hanging="1440"/>
        </w:pPr>
      </w:lvl>
    </w:lvlOverride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BB"/>
    <w:rsid w:val="00340FBB"/>
    <w:rsid w:val="00410116"/>
    <w:rsid w:val="005B4AB1"/>
    <w:rsid w:val="00830AA1"/>
    <w:rsid w:val="008E157E"/>
    <w:rsid w:val="00960683"/>
    <w:rsid w:val="00E0380C"/>
    <w:rsid w:val="00E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B7148"/>
  <w14:defaultImageDpi w14:val="300"/>
  <w15:docId w15:val="{70821C45-79B7-4BA0-B9E9-5B43286B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B"/>
    <w:rPr>
      <w:rFonts w:ascii="Arial" w:eastAsiaTheme="minorHAnsi" w:hAnsi="Arial" w:cs="Times New Roman"/>
      <w:sz w:val="22"/>
      <w:szCs w:val="22"/>
      <w:lang w:val="en-GB"/>
    </w:rPr>
  </w:style>
  <w:style w:type="paragraph" w:styleId="Heading1">
    <w:name w:val="heading 1"/>
    <w:aliases w:val="TSB Headings"/>
    <w:basedOn w:val="ListParagraph"/>
    <w:next w:val="Normal"/>
    <w:link w:val="Heading1Char"/>
    <w:autoRedefine/>
    <w:uiPriority w:val="9"/>
    <w:qFormat/>
    <w:rsid w:val="008E157E"/>
    <w:pPr>
      <w:numPr>
        <w:numId w:val="6"/>
      </w:numPr>
      <w:spacing w:after="0" w:line="240" w:lineRule="auto"/>
      <w:ind w:left="993" w:hanging="636"/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FBB"/>
    <w:pPr>
      <w:numPr>
        <w:ilvl w:val="1"/>
        <w:numId w:val="2"/>
      </w:numPr>
      <w:spacing w:after="120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FBB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FBB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FBB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FBB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FBB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FBB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FBB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8E157E"/>
    <w:rPr>
      <w:rFonts w:asciiTheme="majorHAnsi" w:eastAsiaTheme="minorHAnsi" w:hAnsiTheme="majorHAnsi" w:cstheme="majorHAnsi"/>
      <w:b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40FBB"/>
    <w:rPr>
      <w:rFonts w:asciiTheme="majorHAnsi" w:eastAsiaTheme="minorHAnsi" w:hAnsiTheme="majorHAnsi" w:cs="Arial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FB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F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FB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FB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FB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F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F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40FB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340FBB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FBB"/>
    <w:rPr>
      <w:color w:val="0000FF"/>
      <w:u w:val="single"/>
    </w:rPr>
  </w:style>
  <w:style w:type="numbering" w:customStyle="1" w:styleId="Style1">
    <w:name w:val="Style1"/>
    <w:basedOn w:val="NoList"/>
    <w:uiPriority w:val="99"/>
    <w:rsid w:val="00340FBB"/>
    <w:pPr>
      <w:numPr>
        <w:numId w:val="3"/>
      </w:numPr>
    </w:pPr>
  </w:style>
  <w:style w:type="paragraph" w:customStyle="1" w:styleId="TSB-Level1Numbers">
    <w:name w:val="TSB - Level 1 Numbers"/>
    <w:basedOn w:val="Heading1"/>
    <w:link w:val="TSB-Level1NumbersChar"/>
    <w:qFormat/>
    <w:rsid w:val="00340FBB"/>
    <w:pPr>
      <w:numPr>
        <w:ilvl w:val="1"/>
      </w:numPr>
      <w:ind w:left="1480" w:hanging="482"/>
      <w:contextualSpacing w:val="0"/>
    </w:pPr>
    <w:rPr>
      <w:rFonts w:cstheme="minorHAnsi"/>
      <w:b w:val="0"/>
      <w:sz w:val="2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340FBB"/>
    <w:pPr>
      <w:numPr>
        <w:numId w:val="5"/>
      </w:numPr>
      <w:tabs>
        <w:tab w:val="left" w:pos="1418"/>
      </w:tabs>
      <w:spacing w:after="120"/>
      <w:ind w:left="1843" w:hanging="425"/>
      <w:contextualSpacing w:val="0"/>
    </w:pPr>
  </w:style>
  <w:style w:type="paragraph" w:customStyle="1" w:styleId="TSB-Level2Numbers">
    <w:name w:val="TSB - Level 2 Numbers"/>
    <w:basedOn w:val="TSB-Level1Numbers"/>
    <w:autoRedefine/>
    <w:qFormat/>
    <w:rsid w:val="00340FBB"/>
    <w:pPr>
      <w:numPr>
        <w:ilvl w:val="2"/>
      </w:numPr>
      <w:tabs>
        <w:tab w:val="num" w:pos="360"/>
      </w:tabs>
      <w:ind w:left="2223" w:hanging="99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0FBB"/>
    <w:rPr>
      <w:rFonts w:eastAsiaTheme="minorHAnsi"/>
      <w:sz w:val="22"/>
      <w:szCs w:val="22"/>
      <w:lang w:val="en-GB"/>
    </w:rPr>
  </w:style>
  <w:style w:type="character" w:customStyle="1" w:styleId="TSB-PolicyBulletsChar">
    <w:name w:val="TSB - Policy Bullets Char"/>
    <w:basedOn w:val="ListParagraphChar"/>
    <w:link w:val="TSB-PolicyBullets"/>
    <w:rsid w:val="00340FBB"/>
    <w:rPr>
      <w:rFonts w:eastAsiaTheme="minorHAnsi"/>
      <w:sz w:val="22"/>
      <w:szCs w:val="22"/>
      <w:lang w:val="en-GB"/>
    </w:rPr>
  </w:style>
  <w:style w:type="character" w:customStyle="1" w:styleId="TSB-Level1NumbersChar">
    <w:name w:val="TSB - Level 1 Numbers Char"/>
    <w:basedOn w:val="Heading1Char"/>
    <w:link w:val="TSB-Level1Numbers"/>
    <w:rsid w:val="00340FBB"/>
    <w:rPr>
      <w:rFonts w:asciiTheme="majorHAnsi" w:eastAsiaTheme="minorHAnsi" w:hAnsiTheme="majorHAnsi" w:cstheme="minorHAnsi"/>
      <w:b w:val="0"/>
      <w:sz w:val="22"/>
      <w:szCs w:val="32"/>
      <w:lang w:val="en-GB"/>
    </w:rPr>
  </w:style>
  <w:style w:type="paragraph" w:styleId="BodyText">
    <w:name w:val="Body Text"/>
    <w:basedOn w:val="Normal"/>
    <w:link w:val="BodyTextChar"/>
    <w:rsid w:val="00410116"/>
    <w:pPr>
      <w:spacing w:after="120"/>
    </w:pPr>
    <w:rPr>
      <w:rFonts w:ascii="Times New Roman" w:eastAsia="Times New Roman" w:hAnsi="Times New Roman"/>
      <w:b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410116"/>
    <w:rPr>
      <w:rFonts w:ascii="Times New Roman" w:eastAsia="Times New Roman" w:hAnsi="Times New Roman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Flanders</dc:creator>
  <cp:keywords/>
  <dc:description/>
  <cp:lastModifiedBy>Daniel Flanders17</cp:lastModifiedBy>
  <cp:revision>2</cp:revision>
  <dcterms:created xsi:type="dcterms:W3CDTF">2022-02-11T15:20:00Z</dcterms:created>
  <dcterms:modified xsi:type="dcterms:W3CDTF">2022-02-11T15:20:00Z</dcterms:modified>
</cp:coreProperties>
</file>